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36F" w:rsidRPr="0094284B" w:rsidRDefault="0094284B">
      <w:pPr>
        <w:spacing w:before="22"/>
        <w:ind w:left="100"/>
        <w:rPr>
          <w:b/>
          <w:sz w:val="32"/>
        </w:rPr>
      </w:pPr>
      <w:r w:rsidRPr="0094284B">
        <w:rPr>
          <w:b/>
          <w:noProof/>
          <w:sz w:val="32"/>
          <w:lang w:eastAsia="en-GB"/>
        </w:rPr>
        <w:drawing>
          <wp:inline distT="0" distB="0" distL="0" distR="0">
            <wp:extent cx="1332523" cy="663567"/>
            <wp:effectExtent l="0" t="0" r="127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3385" cy="683915"/>
                    </a:xfrm>
                    <a:prstGeom prst="rect">
                      <a:avLst/>
                    </a:prstGeom>
                  </pic:spPr>
                </pic:pic>
              </a:graphicData>
            </a:graphic>
          </wp:inline>
        </w:drawing>
      </w:r>
      <w:r w:rsidRPr="0094284B">
        <w:rPr>
          <w:b/>
          <w:sz w:val="32"/>
        </w:rPr>
        <w:t xml:space="preserve">                         </w:t>
      </w:r>
      <w:r w:rsidR="009A355D">
        <w:rPr>
          <w:b/>
          <w:sz w:val="32"/>
        </w:rPr>
        <w:t>C</w:t>
      </w:r>
      <w:r w:rsidR="009103BD" w:rsidRPr="0094284B">
        <w:rPr>
          <w:b/>
          <w:sz w:val="32"/>
        </w:rPr>
        <w:t>atch-up</w:t>
      </w:r>
      <w:r w:rsidR="009103BD" w:rsidRPr="0094284B">
        <w:rPr>
          <w:b/>
          <w:spacing w:val="-4"/>
          <w:sz w:val="32"/>
        </w:rPr>
        <w:t xml:space="preserve"> </w:t>
      </w:r>
      <w:r w:rsidR="009A355D">
        <w:rPr>
          <w:b/>
          <w:sz w:val="32"/>
        </w:rPr>
        <w:t>P</w:t>
      </w:r>
      <w:r w:rsidR="009103BD" w:rsidRPr="0094284B">
        <w:rPr>
          <w:b/>
          <w:sz w:val="32"/>
        </w:rPr>
        <w:t>remium</w:t>
      </w:r>
      <w:r w:rsidR="009A355D">
        <w:rPr>
          <w:b/>
          <w:sz w:val="32"/>
        </w:rPr>
        <w:t xml:space="preserve"> Report</w:t>
      </w:r>
    </w:p>
    <w:p w:rsidR="009A355D" w:rsidRDefault="009A355D">
      <w:pPr>
        <w:pStyle w:val="BodyText"/>
        <w:spacing w:before="190" w:line="259" w:lineRule="auto"/>
        <w:ind w:left="100" w:right="2847"/>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1"/>
        <w:gridCol w:w="9561"/>
      </w:tblGrid>
      <w:tr w:rsidR="009A355D" w:rsidTr="001400EF">
        <w:trPr>
          <w:trHeight w:val="268"/>
        </w:trPr>
        <w:tc>
          <w:tcPr>
            <w:tcW w:w="4391" w:type="dxa"/>
          </w:tcPr>
          <w:p w:rsidR="009A355D" w:rsidRDefault="009A355D" w:rsidP="001400EF">
            <w:pPr>
              <w:pStyle w:val="TableParagraph"/>
              <w:spacing w:line="248" w:lineRule="exact"/>
              <w:rPr>
                <w:b/>
              </w:rPr>
            </w:pPr>
            <w:r>
              <w:rPr>
                <w:b/>
              </w:rPr>
              <w:t>ACADEMY</w:t>
            </w:r>
            <w:r>
              <w:rPr>
                <w:b/>
                <w:spacing w:val="-4"/>
              </w:rPr>
              <w:t xml:space="preserve"> </w:t>
            </w:r>
            <w:r>
              <w:rPr>
                <w:b/>
              </w:rPr>
              <w:t>NAME</w:t>
            </w:r>
          </w:p>
        </w:tc>
        <w:tc>
          <w:tcPr>
            <w:tcW w:w="9561" w:type="dxa"/>
          </w:tcPr>
          <w:p w:rsidR="009A355D" w:rsidRDefault="009A355D" w:rsidP="001400EF">
            <w:pPr>
              <w:pStyle w:val="TableParagraph"/>
              <w:spacing w:line="248" w:lineRule="exact"/>
            </w:pPr>
            <w:r>
              <w:t>Settlebeck School</w:t>
            </w:r>
          </w:p>
        </w:tc>
      </w:tr>
      <w:tr w:rsidR="009A355D" w:rsidTr="001400EF">
        <w:trPr>
          <w:trHeight w:val="268"/>
        </w:trPr>
        <w:tc>
          <w:tcPr>
            <w:tcW w:w="4391" w:type="dxa"/>
          </w:tcPr>
          <w:p w:rsidR="009A355D" w:rsidRDefault="009A355D" w:rsidP="001400EF">
            <w:pPr>
              <w:pStyle w:val="TableParagraph"/>
              <w:spacing w:line="248" w:lineRule="exact"/>
              <w:rPr>
                <w:b/>
              </w:rPr>
            </w:pPr>
            <w:r>
              <w:rPr>
                <w:b/>
              </w:rPr>
              <w:t>HEADTEACHER</w:t>
            </w:r>
          </w:p>
        </w:tc>
        <w:tc>
          <w:tcPr>
            <w:tcW w:w="9561" w:type="dxa"/>
          </w:tcPr>
          <w:p w:rsidR="009A355D" w:rsidRDefault="009A355D" w:rsidP="001400EF">
            <w:pPr>
              <w:pStyle w:val="TableParagraph"/>
              <w:spacing w:line="248" w:lineRule="exact"/>
            </w:pPr>
            <w:r>
              <w:t>Mrs Sarah Campbell</w:t>
            </w:r>
          </w:p>
        </w:tc>
      </w:tr>
      <w:tr w:rsidR="009A355D" w:rsidTr="001400EF">
        <w:trPr>
          <w:trHeight w:val="268"/>
        </w:trPr>
        <w:tc>
          <w:tcPr>
            <w:tcW w:w="4391" w:type="dxa"/>
          </w:tcPr>
          <w:p w:rsidR="009A355D" w:rsidRDefault="009A355D" w:rsidP="001400EF">
            <w:pPr>
              <w:pStyle w:val="TableParagraph"/>
              <w:spacing w:line="248" w:lineRule="exact"/>
              <w:rPr>
                <w:b/>
              </w:rPr>
            </w:pPr>
            <w:r>
              <w:rPr>
                <w:b/>
              </w:rPr>
              <w:t>CHAIR</w:t>
            </w:r>
            <w:r>
              <w:rPr>
                <w:b/>
                <w:spacing w:val="-2"/>
              </w:rPr>
              <w:t xml:space="preserve"> </w:t>
            </w:r>
            <w:r>
              <w:rPr>
                <w:b/>
              </w:rPr>
              <w:t>OF</w:t>
            </w:r>
            <w:r>
              <w:rPr>
                <w:b/>
                <w:spacing w:val="-5"/>
              </w:rPr>
              <w:t xml:space="preserve"> </w:t>
            </w:r>
            <w:r>
              <w:rPr>
                <w:b/>
              </w:rPr>
              <w:t>GOVERNORS</w:t>
            </w:r>
          </w:p>
        </w:tc>
        <w:tc>
          <w:tcPr>
            <w:tcW w:w="9561" w:type="dxa"/>
          </w:tcPr>
          <w:p w:rsidR="009A355D" w:rsidRDefault="009A355D" w:rsidP="001400EF">
            <w:pPr>
              <w:pStyle w:val="TableParagraph"/>
              <w:spacing w:line="248" w:lineRule="exact"/>
            </w:pPr>
            <w:r>
              <w:t>Mr Peter Irvine</w:t>
            </w:r>
          </w:p>
        </w:tc>
      </w:tr>
    </w:tbl>
    <w:p w:rsidR="009A355D" w:rsidRPr="009A355D" w:rsidRDefault="009A355D" w:rsidP="009A355D">
      <w:pPr>
        <w:pStyle w:val="2Subheadpink"/>
        <w:rPr>
          <w:rFonts w:asciiTheme="minorHAnsi" w:hAnsiTheme="minorHAnsi" w:cstheme="minorHAnsi"/>
          <w:i/>
          <w:color w:val="000000" w:themeColor="text1"/>
          <w:sz w:val="28"/>
        </w:rPr>
      </w:pPr>
      <w:r w:rsidRPr="009A355D">
        <w:rPr>
          <w:rFonts w:asciiTheme="minorHAnsi" w:hAnsiTheme="minorHAnsi" w:cstheme="minorHAnsi"/>
          <w:noProof/>
          <w:color w:val="000000" w:themeColor="text1"/>
          <w:sz w:val="28"/>
        </w:rPr>
        <w:t>COVID-19 catch-up premium spending: summary</w:t>
      </w:r>
    </w:p>
    <w:tbl>
      <w:tblPr>
        <w:tblW w:w="14629"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227"/>
        <w:gridCol w:w="2764"/>
        <w:gridCol w:w="4908"/>
        <w:gridCol w:w="2730"/>
      </w:tblGrid>
      <w:tr w:rsidR="009A355D" w:rsidTr="00BD731B">
        <w:trPr>
          <w:cantSplit/>
          <w:tblHeader/>
        </w:trPr>
        <w:tc>
          <w:tcPr>
            <w:tcW w:w="14629" w:type="dxa"/>
            <w:gridSpan w:val="4"/>
            <w:tcBorders>
              <w:top w:val="single" w:sz="4" w:space="0" w:color="12263F"/>
              <w:left w:val="single" w:sz="4" w:space="0" w:color="12263F"/>
              <w:bottom w:val="single" w:sz="4" w:space="0" w:color="12263F"/>
              <w:right w:val="single" w:sz="4" w:space="0" w:color="12263F"/>
              <w:tl2br w:val="nil"/>
              <w:tr2bl w:val="nil"/>
            </w:tcBorders>
            <w:shd w:val="clear" w:color="auto" w:fill="1F497D" w:themeFill="text2"/>
            <w:tcMar>
              <w:top w:w="113" w:type="dxa"/>
              <w:bottom w:w="113" w:type="dxa"/>
            </w:tcMar>
          </w:tcPr>
          <w:p w:rsidR="009A355D" w:rsidRPr="001419C2" w:rsidRDefault="009A355D" w:rsidP="001400EF">
            <w:pPr>
              <w:pStyle w:val="1bodycopy"/>
              <w:spacing w:after="0"/>
              <w:rPr>
                <w:rFonts w:asciiTheme="minorHAnsi" w:hAnsiTheme="minorHAnsi" w:cstheme="minorHAnsi"/>
                <w:b/>
                <w:caps/>
                <w:color w:val="F8F8F8"/>
              </w:rPr>
            </w:pPr>
            <w:r w:rsidRPr="001419C2">
              <w:rPr>
                <w:rFonts w:asciiTheme="minorHAnsi" w:hAnsiTheme="minorHAnsi" w:cstheme="minorHAnsi"/>
                <w:b/>
                <w:caps/>
                <w:color w:val="F8F8F8"/>
                <w:sz w:val="24"/>
              </w:rPr>
              <w:t>summary information</w:t>
            </w:r>
          </w:p>
        </w:tc>
      </w:tr>
      <w:tr w:rsidR="009A355D" w:rsidTr="009A355D">
        <w:trPr>
          <w:cantSplit/>
        </w:trPr>
        <w:tc>
          <w:tcPr>
            <w:tcW w:w="4227" w:type="dxa"/>
            <w:shd w:val="clear" w:color="auto" w:fill="auto"/>
            <w:tcMar>
              <w:top w:w="113" w:type="dxa"/>
              <w:bottom w:w="113" w:type="dxa"/>
            </w:tcMar>
          </w:tcPr>
          <w:p w:rsidR="009A355D" w:rsidRDefault="009A355D" w:rsidP="001400EF">
            <w:pPr>
              <w:pStyle w:val="7Tablebodycopy"/>
            </w:pPr>
            <w:r>
              <w:t>Total number of pupils:</w:t>
            </w:r>
          </w:p>
        </w:tc>
        <w:tc>
          <w:tcPr>
            <w:tcW w:w="2764" w:type="dxa"/>
            <w:shd w:val="clear" w:color="auto" w:fill="auto"/>
            <w:tcMar>
              <w:top w:w="113" w:type="dxa"/>
              <w:bottom w:w="113" w:type="dxa"/>
            </w:tcMar>
          </w:tcPr>
          <w:p w:rsidR="009A355D" w:rsidRDefault="009A355D" w:rsidP="001400EF">
            <w:pPr>
              <w:pStyle w:val="7Tablebodycopy"/>
            </w:pPr>
            <w:r>
              <w:t>196</w:t>
            </w:r>
          </w:p>
        </w:tc>
        <w:tc>
          <w:tcPr>
            <w:tcW w:w="4908" w:type="dxa"/>
          </w:tcPr>
          <w:p w:rsidR="009A355D" w:rsidRDefault="009A355D" w:rsidP="001400EF">
            <w:pPr>
              <w:pStyle w:val="7Tablebodycopy"/>
            </w:pPr>
            <w:r>
              <w:t>Amount of catch-up premium received per pupil:</w:t>
            </w:r>
          </w:p>
        </w:tc>
        <w:tc>
          <w:tcPr>
            <w:tcW w:w="2730" w:type="dxa"/>
            <w:shd w:val="clear" w:color="auto" w:fill="auto"/>
            <w:tcMar>
              <w:top w:w="113" w:type="dxa"/>
              <w:bottom w:w="113" w:type="dxa"/>
            </w:tcMar>
          </w:tcPr>
          <w:p w:rsidR="009A355D" w:rsidRDefault="009A355D" w:rsidP="001400EF">
            <w:pPr>
              <w:pStyle w:val="7Tablebodycopy"/>
            </w:pPr>
            <w:r>
              <w:t>£80</w:t>
            </w:r>
          </w:p>
        </w:tc>
      </w:tr>
      <w:tr w:rsidR="009A355D" w:rsidTr="009A355D">
        <w:trPr>
          <w:cantSplit/>
        </w:trPr>
        <w:tc>
          <w:tcPr>
            <w:tcW w:w="4227" w:type="dxa"/>
            <w:shd w:val="clear" w:color="auto" w:fill="auto"/>
            <w:tcMar>
              <w:top w:w="113" w:type="dxa"/>
              <w:bottom w:w="113" w:type="dxa"/>
            </w:tcMar>
          </w:tcPr>
          <w:p w:rsidR="009A355D" w:rsidRDefault="009A355D" w:rsidP="001400EF">
            <w:pPr>
              <w:pStyle w:val="7Tablebodycopy"/>
            </w:pPr>
            <w:r w:rsidRPr="006128D4">
              <w:t xml:space="preserve">Total </w:t>
            </w:r>
            <w:r>
              <w:t>catch-up</w:t>
            </w:r>
            <w:r w:rsidRPr="006128D4">
              <w:t xml:space="preserve"> premium budget:</w:t>
            </w:r>
          </w:p>
        </w:tc>
        <w:tc>
          <w:tcPr>
            <w:tcW w:w="2764" w:type="dxa"/>
            <w:shd w:val="clear" w:color="auto" w:fill="auto"/>
            <w:tcMar>
              <w:top w:w="113" w:type="dxa"/>
              <w:bottom w:w="113" w:type="dxa"/>
            </w:tcMar>
          </w:tcPr>
          <w:p w:rsidR="009A355D" w:rsidRDefault="009A355D" w:rsidP="001400EF">
            <w:pPr>
              <w:pStyle w:val="7Tablebodycopy"/>
            </w:pPr>
            <w:r>
              <w:t>£17,040</w:t>
            </w:r>
          </w:p>
        </w:tc>
        <w:tc>
          <w:tcPr>
            <w:tcW w:w="4908" w:type="dxa"/>
          </w:tcPr>
          <w:p w:rsidR="009A355D" w:rsidRDefault="009A355D" w:rsidP="001400EF">
            <w:pPr>
              <w:pStyle w:val="7Tablebodycopy"/>
            </w:pPr>
          </w:p>
        </w:tc>
        <w:tc>
          <w:tcPr>
            <w:tcW w:w="2730" w:type="dxa"/>
            <w:shd w:val="clear" w:color="auto" w:fill="auto"/>
            <w:tcMar>
              <w:top w:w="113" w:type="dxa"/>
              <w:bottom w:w="113" w:type="dxa"/>
            </w:tcMar>
          </w:tcPr>
          <w:p w:rsidR="009A355D" w:rsidRDefault="009A355D" w:rsidP="001400EF">
            <w:pPr>
              <w:pStyle w:val="7Tablebodycopy"/>
            </w:pPr>
          </w:p>
        </w:tc>
      </w:tr>
    </w:tbl>
    <w:p w:rsidR="009A355D" w:rsidRDefault="009A355D">
      <w:pPr>
        <w:rPr>
          <w:b/>
          <w:sz w:val="20"/>
        </w:rPr>
      </w:pPr>
    </w:p>
    <w:p w:rsidR="009A355D" w:rsidRDefault="009A355D">
      <w:pPr>
        <w:rPr>
          <w:b/>
          <w:sz w:val="20"/>
        </w:rPr>
      </w:pPr>
    </w:p>
    <w:tbl>
      <w:tblPr>
        <w:tblW w:w="14629"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4629"/>
      </w:tblGrid>
      <w:tr w:rsidR="009A355D" w:rsidRPr="00133219" w:rsidTr="00BD731B">
        <w:trPr>
          <w:cantSplit/>
          <w:tblHeader/>
        </w:trPr>
        <w:tc>
          <w:tcPr>
            <w:tcW w:w="14629" w:type="dxa"/>
            <w:tcBorders>
              <w:top w:val="single" w:sz="4" w:space="0" w:color="12263F"/>
              <w:left w:val="single" w:sz="4" w:space="0" w:color="12263F"/>
              <w:bottom w:val="single" w:sz="4" w:space="0" w:color="12263F"/>
              <w:right w:val="single" w:sz="4" w:space="0" w:color="12263F"/>
              <w:tl2br w:val="nil"/>
              <w:tr2bl w:val="nil"/>
            </w:tcBorders>
            <w:shd w:val="clear" w:color="auto" w:fill="1F497D" w:themeFill="text2"/>
            <w:tcMar>
              <w:top w:w="113" w:type="dxa"/>
              <w:bottom w:w="113" w:type="dxa"/>
            </w:tcMar>
          </w:tcPr>
          <w:p w:rsidR="009A355D" w:rsidRPr="001419C2" w:rsidRDefault="009A355D" w:rsidP="001400EF">
            <w:pPr>
              <w:pStyle w:val="1bodycopy"/>
              <w:spacing w:after="0"/>
              <w:rPr>
                <w:rFonts w:asciiTheme="minorHAnsi" w:hAnsiTheme="minorHAnsi" w:cstheme="minorHAnsi"/>
                <w:b/>
                <w:caps/>
                <w:color w:val="F8F8F8"/>
              </w:rPr>
            </w:pPr>
            <w:r w:rsidRPr="001419C2">
              <w:rPr>
                <w:rFonts w:asciiTheme="minorHAnsi" w:hAnsiTheme="minorHAnsi" w:cstheme="minorHAnsi"/>
                <w:b/>
                <w:caps/>
                <w:color w:val="F8F8F8"/>
                <w:sz w:val="24"/>
              </w:rPr>
              <w:t>strategy statement</w:t>
            </w:r>
          </w:p>
        </w:tc>
      </w:tr>
      <w:tr w:rsidR="009A355D" w:rsidTr="009A355D">
        <w:trPr>
          <w:cantSplit/>
        </w:trPr>
        <w:tc>
          <w:tcPr>
            <w:tcW w:w="14629" w:type="dxa"/>
            <w:shd w:val="clear" w:color="auto" w:fill="auto"/>
            <w:tcMar>
              <w:top w:w="113" w:type="dxa"/>
              <w:bottom w:w="113" w:type="dxa"/>
            </w:tcMar>
          </w:tcPr>
          <w:p w:rsidR="009A355D" w:rsidRDefault="009A355D" w:rsidP="009A355D">
            <w:pPr>
              <w:pStyle w:val="7Tablecopybulleted"/>
              <w:numPr>
                <w:ilvl w:val="0"/>
                <w:numId w:val="0"/>
              </w:numPr>
              <w:ind w:left="340" w:hanging="170"/>
              <w:rPr>
                <w:rFonts w:asciiTheme="minorHAnsi" w:hAnsiTheme="minorHAnsi" w:cstheme="minorHAnsi"/>
                <w:sz w:val="22"/>
              </w:rPr>
            </w:pPr>
            <w:r w:rsidRPr="009A355D">
              <w:rPr>
                <w:rFonts w:asciiTheme="minorHAnsi" w:hAnsiTheme="minorHAnsi" w:cstheme="minorHAnsi"/>
                <w:sz w:val="22"/>
              </w:rPr>
              <w:t>Settlebeck School’s priority is to provide a broad and balanced curriculum with quality first teaching at the centre of our</w:t>
            </w:r>
            <w:r>
              <w:rPr>
                <w:rFonts w:asciiTheme="minorHAnsi" w:hAnsiTheme="minorHAnsi" w:cstheme="minorHAnsi"/>
                <w:sz w:val="22"/>
              </w:rPr>
              <w:t xml:space="preserve"> recovery strategy. The overall</w:t>
            </w:r>
          </w:p>
          <w:p w:rsidR="009A355D" w:rsidRPr="009A355D" w:rsidRDefault="009A355D" w:rsidP="009A355D">
            <w:pPr>
              <w:pStyle w:val="7Tablecopybulleted"/>
              <w:numPr>
                <w:ilvl w:val="0"/>
                <w:numId w:val="0"/>
              </w:numPr>
              <w:ind w:left="340" w:hanging="170"/>
              <w:rPr>
                <w:rFonts w:asciiTheme="minorHAnsi" w:hAnsiTheme="minorHAnsi" w:cstheme="minorHAnsi"/>
                <w:sz w:val="22"/>
              </w:rPr>
            </w:pPr>
            <w:r w:rsidRPr="009A355D">
              <w:rPr>
                <w:rFonts w:asciiTheme="minorHAnsi" w:hAnsiTheme="minorHAnsi" w:cstheme="minorHAnsi"/>
                <w:sz w:val="22"/>
              </w:rPr>
              <w:t xml:space="preserve">aims of our catch-up premium strategy are: </w:t>
            </w:r>
          </w:p>
          <w:p w:rsidR="009A355D" w:rsidRPr="009A355D" w:rsidRDefault="009A355D" w:rsidP="009A355D">
            <w:pPr>
              <w:pStyle w:val="7Tablecopybulleted"/>
              <w:numPr>
                <w:ilvl w:val="0"/>
                <w:numId w:val="0"/>
              </w:numPr>
              <w:ind w:left="340" w:hanging="170"/>
              <w:rPr>
                <w:rFonts w:asciiTheme="minorHAnsi" w:hAnsiTheme="minorHAnsi" w:cstheme="minorHAnsi"/>
                <w:sz w:val="22"/>
              </w:rPr>
            </w:pPr>
            <w:r w:rsidRPr="009A355D">
              <w:rPr>
                <w:rFonts w:asciiTheme="minorHAnsi" w:hAnsiTheme="minorHAnsi" w:cstheme="minorHAnsi"/>
                <w:sz w:val="22"/>
              </w:rPr>
              <w:t xml:space="preserve">• To support the health and wellbeing of our students and staff. </w:t>
            </w:r>
          </w:p>
          <w:p w:rsidR="009A355D" w:rsidRPr="009A355D" w:rsidRDefault="009A355D" w:rsidP="009A355D">
            <w:pPr>
              <w:pStyle w:val="7Tablecopybulleted"/>
              <w:numPr>
                <w:ilvl w:val="0"/>
                <w:numId w:val="0"/>
              </w:numPr>
              <w:ind w:left="340" w:hanging="170"/>
              <w:rPr>
                <w:rFonts w:asciiTheme="minorHAnsi" w:hAnsiTheme="minorHAnsi" w:cstheme="minorHAnsi"/>
                <w:sz w:val="22"/>
              </w:rPr>
            </w:pPr>
            <w:r w:rsidRPr="009A355D">
              <w:rPr>
                <w:rFonts w:asciiTheme="minorHAnsi" w:hAnsiTheme="minorHAnsi" w:cstheme="minorHAnsi"/>
                <w:sz w:val="22"/>
              </w:rPr>
              <w:t xml:space="preserve">• To reduce the attainment gap between your disadvantaged pupils and their peers. </w:t>
            </w:r>
          </w:p>
          <w:p w:rsidR="009A355D" w:rsidRPr="009A355D" w:rsidRDefault="009A355D" w:rsidP="009A355D">
            <w:pPr>
              <w:pStyle w:val="7Tablecopybulleted"/>
              <w:numPr>
                <w:ilvl w:val="0"/>
                <w:numId w:val="0"/>
              </w:numPr>
              <w:ind w:left="340" w:hanging="170"/>
            </w:pPr>
            <w:r w:rsidRPr="009A355D">
              <w:rPr>
                <w:rFonts w:asciiTheme="minorHAnsi" w:hAnsiTheme="minorHAnsi" w:cstheme="minorHAnsi"/>
                <w:sz w:val="22"/>
              </w:rPr>
              <w:t>• To raise the attainment of all pupils to close the gap created by COVID-19 school closures</w:t>
            </w:r>
            <w:r>
              <w:rPr>
                <w:rFonts w:asciiTheme="minorHAnsi" w:hAnsiTheme="minorHAnsi" w:cstheme="minorHAnsi"/>
                <w:sz w:val="22"/>
              </w:rPr>
              <w:t>.</w:t>
            </w:r>
          </w:p>
        </w:tc>
      </w:tr>
    </w:tbl>
    <w:p w:rsidR="009A355D" w:rsidRDefault="009A355D">
      <w:pPr>
        <w:rPr>
          <w:b/>
          <w:sz w:val="20"/>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51"/>
        <w:gridCol w:w="13111"/>
      </w:tblGrid>
      <w:tr w:rsidR="009A355D" w:rsidRPr="001419C2" w:rsidTr="00BD731B">
        <w:trPr>
          <w:cantSplit/>
        </w:trPr>
        <w:tc>
          <w:tcPr>
            <w:tcW w:w="14653" w:type="dxa"/>
            <w:gridSpan w:val="2"/>
            <w:tcBorders>
              <w:top w:val="single" w:sz="4" w:space="0" w:color="12263F"/>
              <w:left w:val="single" w:sz="4" w:space="0" w:color="12263F"/>
              <w:bottom w:val="single" w:sz="4" w:space="0" w:color="12263F"/>
              <w:right w:val="single" w:sz="4" w:space="0" w:color="12263F"/>
              <w:tl2br w:val="nil"/>
              <w:tr2bl w:val="nil"/>
            </w:tcBorders>
            <w:shd w:val="clear" w:color="auto" w:fill="1F497D" w:themeFill="text2"/>
            <w:tcMar>
              <w:top w:w="113" w:type="dxa"/>
              <w:bottom w:w="113" w:type="dxa"/>
            </w:tcMar>
          </w:tcPr>
          <w:p w:rsidR="009A355D" w:rsidRPr="001419C2" w:rsidRDefault="009A355D" w:rsidP="001400EF">
            <w:pPr>
              <w:pStyle w:val="1bodycopy"/>
              <w:spacing w:after="0"/>
              <w:rPr>
                <w:rFonts w:asciiTheme="minorHAnsi" w:hAnsiTheme="minorHAnsi" w:cstheme="minorHAnsi"/>
                <w:b/>
                <w:caps/>
                <w:color w:val="F8F8F8"/>
              </w:rPr>
            </w:pPr>
            <w:r w:rsidRPr="001419C2">
              <w:rPr>
                <w:rFonts w:asciiTheme="minorHAnsi" w:hAnsiTheme="minorHAnsi" w:cstheme="minorHAnsi"/>
                <w:b/>
                <w:caps/>
                <w:color w:val="F8F8F8"/>
                <w:sz w:val="24"/>
              </w:rPr>
              <w:t>barriers to future attainment</w:t>
            </w:r>
          </w:p>
        </w:tc>
      </w:tr>
      <w:tr w:rsidR="009A355D" w:rsidRPr="001419C2" w:rsidTr="001400EF">
        <w:trPr>
          <w:cantSplit/>
        </w:trPr>
        <w:tc>
          <w:tcPr>
            <w:tcW w:w="14653" w:type="dxa"/>
            <w:gridSpan w:val="2"/>
            <w:shd w:val="clear" w:color="auto" w:fill="9CC2E5"/>
            <w:tcMar>
              <w:top w:w="113" w:type="dxa"/>
              <w:bottom w:w="113" w:type="dxa"/>
            </w:tcMar>
          </w:tcPr>
          <w:p w:rsidR="009A355D" w:rsidRPr="001419C2" w:rsidRDefault="009A355D" w:rsidP="009A355D">
            <w:pPr>
              <w:pStyle w:val="7Tablebodybulleted"/>
              <w:numPr>
                <w:ilvl w:val="0"/>
                <w:numId w:val="0"/>
              </w:numPr>
              <w:rPr>
                <w:rFonts w:asciiTheme="minorHAnsi" w:hAnsiTheme="minorHAnsi" w:cstheme="minorHAnsi"/>
                <w:i/>
                <w:sz w:val="22"/>
              </w:rPr>
            </w:pPr>
            <w:r w:rsidRPr="001419C2">
              <w:rPr>
                <w:rFonts w:asciiTheme="minorHAnsi" w:hAnsiTheme="minorHAnsi" w:cstheme="minorHAnsi"/>
                <w:sz w:val="22"/>
              </w:rPr>
              <w:t xml:space="preserve">Academic barriers: </w:t>
            </w:r>
          </w:p>
        </w:tc>
      </w:tr>
      <w:tr w:rsidR="009A355D" w:rsidRPr="001419C2" w:rsidTr="001400EF">
        <w:trPr>
          <w:cantSplit/>
        </w:trPr>
        <w:tc>
          <w:tcPr>
            <w:tcW w:w="967" w:type="dxa"/>
            <w:shd w:val="clear" w:color="auto" w:fill="auto"/>
            <w:tcMar>
              <w:top w:w="113" w:type="dxa"/>
              <w:bottom w:w="113" w:type="dxa"/>
            </w:tcMar>
          </w:tcPr>
          <w:p w:rsidR="009A355D" w:rsidRPr="001419C2" w:rsidRDefault="009A355D" w:rsidP="001400EF">
            <w:pPr>
              <w:pStyle w:val="7Tablebodybulleted"/>
              <w:numPr>
                <w:ilvl w:val="0"/>
                <w:numId w:val="0"/>
              </w:numPr>
              <w:rPr>
                <w:rFonts w:asciiTheme="minorHAnsi" w:hAnsiTheme="minorHAnsi" w:cstheme="minorHAnsi"/>
                <w:sz w:val="22"/>
                <w:highlight w:val="yellow"/>
              </w:rPr>
            </w:pPr>
            <w:r w:rsidRPr="001419C2">
              <w:rPr>
                <w:rFonts w:asciiTheme="minorHAnsi" w:hAnsiTheme="minorHAnsi" w:cstheme="minorHAnsi"/>
                <w:sz w:val="22"/>
              </w:rPr>
              <w:t>A</w:t>
            </w:r>
          </w:p>
        </w:tc>
        <w:tc>
          <w:tcPr>
            <w:tcW w:w="13686" w:type="dxa"/>
            <w:shd w:val="clear" w:color="auto" w:fill="auto"/>
          </w:tcPr>
          <w:p w:rsidR="009A355D" w:rsidRPr="001419C2" w:rsidRDefault="009A355D" w:rsidP="001400EF">
            <w:pPr>
              <w:pStyle w:val="7Tablebodycopy"/>
              <w:rPr>
                <w:rFonts w:asciiTheme="minorHAnsi" w:hAnsiTheme="minorHAnsi" w:cstheme="minorHAnsi"/>
                <w:sz w:val="22"/>
              </w:rPr>
            </w:pPr>
            <w:r w:rsidRPr="001419C2">
              <w:rPr>
                <w:rFonts w:asciiTheme="minorHAnsi" w:hAnsiTheme="minorHAnsi" w:cstheme="minorHAnsi"/>
                <w:sz w:val="22"/>
              </w:rPr>
              <w:t xml:space="preserve">Low reading and spelling ages of some pupils, preventing full access to the curriculum. </w:t>
            </w:r>
          </w:p>
        </w:tc>
      </w:tr>
      <w:tr w:rsidR="009A355D" w:rsidRPr="001419C2" w:rsidTr="001400EF">
        <w:trPr>
          <w:cantSplit/>
        </w:trPr>
        <w:tc>
          <w:tcPr>
            <w:tcW w:w="967" w:type="dxa"/>
            <w:shd w:val="clear" w:color="auto" w:fill="auto"/>
            <w:tcMar>
              <w:top w:w="113" w:type="dxa"/>
              <w:bottom w:w="113" w:type="dxa"/>
            </w:tcMar>
          </w:tcPr>
          <w:p w:rsidR="009A355D" w:rsidRPr="001419C2" w:rsidRDefault="009A355D" w:rsidP="001400EF">
            <w:pPr>
              <w:pStyle w:val="7Tablebodycopy"/>
              <w:rPr>
                <w:rFonts w:asciiTheme="minorHAnsi" w:hAnsiTheme="minorHAnsi" w:cstheme="minorHAnsi"/>
                <w:sz w:val="22"/>
              </w:rPr>
            </w:pPr>
            <w:r w:rsidRPr="001419C2">
              <w:rPr>
                <w:rFonts w:asciiTheme="minorHAnsi" w:hAnsiTheme="minorHAnsi" w:cstheme="minorHAnsi"/>
                <w:sz w:val="22"/>
              </w:rPr>
              <w:lastRenderedPageBreak/>
              <w:t>B</w:t>
            </w:r>
          </w:p>
        </w:tc>
        <w:tc>
          <w:tcPr>
            <w:tcW w:w="13686" w:type="dxa"/>
            <w:shd w:val="clear" w:color="auto" w:fill="auto"/>
            <w:tcMar>
              <w:top w:w="113" w:type="dxa"/>
              <w:bottom w:w="113" w:type="dxa"/>
            </w:tcMar>
          </w:tcPr>
          <w:p w:rsidR="009A355D" w:rsidRPr="001419C2" w:rsidRDefault="00BD731B" w:rsidP="00BD731B">
            <w:pPr>
              <w:pStyle w:val="7Tablebodycopy"/>
              <w:rPr>
                <w:rFonts w:asciiTheme="minorHAnsi" w:hAnsiTheme="minorHAnsi" w:cstheme="minorHAnsi"/>
                <w:sz w:val="22"/>
              </w:rPr>
            </w:pPr>
            <w:r w:rsidRPr="001419C2">
              <w:rPr>
                <w:rFonts w:asciiTheme="minorHAnsi" w:hAnsiTheme="minorHAnsi" w:cstheme="minorHAnsi"/>
                <w:sz w:val="22"/>
              </w:rPr>
              <w:t xml:space="preserve">Loss of independent learning skills </w:t>
            </w:r>
          </w:p>
        </w:tc>
      </w:tr>
      <w:tr w:rsidR="009A355D" w:rsidRPr="001419C2" w:rsidTr="001400EF">
        <w:trPr>
          <w:cantSplit/>
        </w:trPr>
        <w:tc>
          <w:tcPr>
            <w:tcW w:w="967" w:type="dxa"/>
            <w:shd w:val="clear" w:color="auto" w:fill="auto"/>
            <w:tcMar>
              <w:top w:w="113" w:type="dxa"/>
              <w:bottom w:w="113" w:type="dxa"/>
            </w:tcMar>
          </w:tcPr>
          <w:p w:rsidR="009A355D" w:rsidRPr="001419C2" w:rsidRDefault="009A355D" w:rsidP="001400EF">
            <w:pPr>
              <w:pStyle w:val="7Tablebodycopy"/>
              <w:rPr>
                <w:rFonts w:asciiTheme="minorHAnsi" w:hAnsiTheme="minorHAnsi" w:cstheme="minorHAnsi"/>
                <w:sz w:val="22"/>
              </w:rPr>
            </w:pPr>
            <w:r w:rsidRPr="001419C2">
              <w:rPr>
                <w:rFonts w:asciiTheme="minorHAnsi" w:hAnsiTheme="minorHAnsi" w:cstheme="minorHAnsi"/>
                <w:sz w:val="22"/>
              </w:rPr>
              <w:t>C</w:t>
            </w:r>
          </w:p>
        </w:tc>
        <w:tc>
          <w:tcPr>
            <w:tcW w:w="13686" w:type="dxa"/>
            <w:shd w:val="clear" w:color="auto" w:fill="auto"/>
            <w:tcMar>
              <w:top w:w="113" w:type="dxa"/>
              <w:bottom w:w="113" w:type="dxa"/>
            </w:tcMar>
          </w:tcPr>
          <w:p w:rsidR="009A355D" w:rsidRPr="001419C2" w:rsidRDefault="00BD731B" w:rsidP="001400EF">
            <w:pPr>
              <w:pStyle w:val="7Tablebodycopy"/>
              <w:rPr>
                <w:rFonts w:asciiTheme="minorHAnsi" w:hAnsiTheme="minorHAnsi" w:cstheme="minorHAnsi"/>
                <w:sz w:val="22"/>
              </w:rPr>
            </w:pPr>
            <w:r w:rsidRPr="001419C2">
              <w:rPr>
                <w:rFonts w:asciiTheme="minorHAnsi" w:hAnsiTheme="minorHAnsi" w:cstheme="minorHAnsi"/>
                <w:sz w:val="22"/>
              </w:rPr>
              <w:t xml:space="preserve">Mental Health needs of the pupils and community. </w:t>
            </w:r>
          </w:p>
        </w:tc>
      </w:tr>
    </w:tbl>
    <w:p w:rsidR="009A355D" w:rsidRDefault="009A355D">
      <w:pPr>
        <w:rPr>
          <w:b/>
          <w:sz w:val="20"/>
        </w:rPr>
      </w:pPr>
    </w:p>
    <w:p w:rsidR="00BD731B" w:rsidRDefault="00BD731B">
      <w:pPr>
        <w:rPr>
          <w:b/>
          <w:sz w:val="20"/>
        </w:rPr>
      </w:pPr>
    </w:p>
    <w:p w:rsidR="00BD731B" w:rsidRDefault="00BD731B">
      <w:pPr>
        <w:rPr>
          <w:b/>
          <w:sz w:val="20"/>
        </w:rPr>
      </w:pPr>
    </w:p>
    <w:p w:rsidR="00F8636F" w:rsidRDefault="00F8636F">
      <w:pPr>
        <w:spacing w:after="1"/>
        <w:rPr>
          <w:b/>
          <w:sz w:val="17"/>
        </w:rPr>
      </w:pPr>
    </w:p>
    <w:tbl>
      <w:tblPr>
        <w:tblW w:w="1462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6"/>
        <w:gridCol w:w="3634"/>
        <w:gridCol w:w="2006"/>
        <w:gridCol w:w="1630"/>
        <w:gridCol w:w="992"/>
        <w:gridCol w:w="4819"/>
      </w:tblGrid>
      <w:tr w:rsidR="00F8636F" w:rsidTr="00BD731B">
        <w:trPr>
          <w:trHeight w:val="537"/>
        </w:trPr>
        <w:tc>
          <w:tcPr>
            <w:tcW w:w="1546" w:type="dxa"/>
            <w:shd w:val="clear" w:color="auto" w:fill="1F497D" w:themeFill="text2"/>
          </w:tcPr>
          <w:p w:rsidR="00F8636F" w:rsidRPr="001419C2" w:rsidRDefault="009103BD">
            <w:pPr>
              <w:pStyle w:val="TableParagraph"/>
              <w:spacing w:line="268" w:lineRule="exact"/>
              <w:rPr>
                <w:b/>
                <w:color w:val="FFFFFF" w:themeColor="background1"/>
                <w:sz w:val="28"/>
              </w:rPr>
            </w:pPr>
            <w:r w:rsidRPr="001419C2">
              <w:rPr>
                <w:b/>
                <w:color w:val="FFFFFF" w:themeColor="background1"/>
                <w:sz w:val="28"/>
              </w:rPr>
              <w:t>Strategy</w:t>
            </w:r>
            <w:r w:rsidRPr="001419C2">
              <w:rPr>
                <w:b/>
                <w:color w:val="FFFFFF" w:themeColor="background1"/>
                <w:spacing w:val="-3"/>
                <w:sz w:val="28"/>
              </w:rPr>
              <w:t xml:space="preserve"> </w:t>
            </w:r>
            <w:r w:rsidRPr="001419C2">
              <w:rPr>
                <w:b/>
                <w:color w:val="FFFFFF" w:themeColor="background1"/>
                <w:sz w:val="28"/>
              </w:rPr>
              <w:t>Area</w:t>
            </w:r>
          </w:p>
        </w:tc>
        <w:tc>
          <w:tcPr>
            <w:tcW w:w="3634" w:type="dxa"/>
            <w:shd w:val="clear" w:color="auto" w:fill="1F497D" w:themeFill="text2"/>
          </w:tcPr>
          <w:p w:rsidR="00F8636F" w:rsidRPr="001419C2" w:rsidRDefault="009103BD">
            <w:pPr>
              <w:pStyle w:val="TableParagraph"/>
              <w:spacing w:line="268" w:lineRule="exact"/>
              <w:rPr>
                <w:b/>
                <w:color w:val="FFFFFF" w:themeColor="background1"/>
                <w:sz w:val="28"/>
              </w:rPr>
            </w:pPr>
            <w:r w:rsidRPr="001419C2">
              <w:rPr>
                <w:b/>
                <w:color w:val="FFFFFF" w:themeColor="background1"/>
                <w:sz w:val="28"/>
              </w:rPr>
              <w:t>Specific</w:t>
            </w:r>
            <w:r w:rsidRPr="001419C2">
              <w:rPr>
                <w:b/>
                <w:color w:val="FFFFFF" w:themeColor="background1"/>
                <w:spacing w:val="-3"/>
                <w:sz w:val="28"/>
              </w:rPr>
              <w:t xml:space="preserve"> </w:t>
            </w:r>
            <w:r w:rsidRPr="001419C2">
              <w:rPr>
                <w:b/>
                <w:color w:val="FFFFFF" w:themeColor="background1"/>
                <w:sz w:val="28"/>
              </w:rPr>
              <w:t>strategy</w:t>
            </w:r>
          </w:p>
        </w:tc>
        <w:tc>
          <w:tcPr>
            <w:tcW w:w="2006" w:type="dxa"/>
            <w:shd w:val="clear" w:color="auto" w:fill="1F497D" w:themeFill="text2"/>
          </w:tcPr>
          <w:p w:rsidR="00F8636F" w:rsidRPr="001419C2" w:rsidRDefault="009103BD">
            <w:pPr>
              <w:pStyle w:val="TableParagraph"/>
              <w:spacing w:line="268" w:lineRule="exact"/>
              <w:rPr>
                <w:b/>
                <w:color w:val="FFFFFF" w:themeColor="background1"/>
                <w:sz w:val="28"/>
              </w:rPr>
            </w:pPr>
            <w:r w:rsidRPr="001419C2">
              <w:rPr>
                <w:b/>
                <w:color w:val="FFFFFF" w:themeColor="background1"/>
                <w:sz w:val="28"/>
              </w:rPr>
              <w:t>Success</w:t>
            </w:r>
            <w:r w:rsidRPr="001419C2">
              <w:rPr>
                <w:b/>
                <w:color w:val="FFFFFF" w:themeColor="background1"/>
                <w:spacing w:val="-4"/>
                <w:sz w:val="28"/>
              </w:rPr>
              <w:t xml:space="preserve"> </w:t>
            </w:r>
            <w:r w:rsidRPr="001419C2">
              <w:rPr>
                <w:b/>
                <w:color w:val="FFFFFF" w:themeColor="background1"/>
                <w:sz w:val="28"/>
              </w:rPr>
              <w:t>criteria</w:t>
            </w:r>
          </w:p>
        </w:tc>
        <w:tc>
          <w:tcPr>
            <w:tcW w:w="1630" w:type="dxa"/>
            <w:shd w:val="clear" w:color="auto" w:fill="1F497D" w:themeFill="text2"/>
          </w:tcPr>
          <w:p w:rsidR="00F8636F" w:rsidRPr="001419C2" w:rsidRDefault="005A4794">
            <w:pPr>
              <w:pStyle w:val="TableParagraph"/>
              <w:spacing w:line="268" w:lineRule="exact"/>
              <w:ind w:left="108"/>
              <w:rPr>
                <w:b/>
                <w:color w:val="FFFFFF" w:themeColor="background1"/>
                <w:sz w:val="28"/>
              </w:rPr>
            </w:pPr>
            <w:r w:rsidRPr="001419C2">
              <w:rPr>
                <w:b/>
                <w:color w:val="FFFFFF" w:themeColor="background1"/>
                <w:sz w:val="28"/>
              </w:rPr>
              <w:t>Start date</w:t>
            </w:r>
          </w:p>
        </w:tc>
        <w:tc>
          <w:tcPr>
            <w:tcW w:w="992" w:type="dxa"/>
            <w:shd w:val="clear" w:color="auto" w:fill="1F497D" w:themeFill="text2"/>
          </w:tcPr>
          <w:p w:rsidR="00F8636F" w:rsidRPr="001419C2" w:rsidRDefault="009103BD">
            <w:pPr>
              <w:pStyle w:val="TableParagraph"/>
              <w:spacing w:line="268" w:lineRule="exact"/>
              <w:ind w:left="108"/>
              <w:rPr>
                <w:b/>
                <w:color w:val="FFFFFF" w:themeColor="background1"/>
                <w:sz w:val="28"/>
              </w:rPr>
            </w:pPr>
            <w:r w:rsidRPr="001419C2">
              <w:rPr>
                <w:b/>
                <w:color w:val="FFFFFF" w:themeColor="background1"/>
                <w:sz w:val="28"/>
              </w:rPr>
              <w:t>COST</w:t>
            </w:r>
          </w:p>
        </w:tc>
        <w:tc>
          <w:tcPr>
            <w:tcW w:w="4819" w:type="dxa"/>
            <w:shd w:val="clear" w:color="auto" w:fill="1F497D" w:themeFill="text2"/>
          </w:tcPr>
          <w:p w:rsidR="00F8636F" w:rsidRPr="001419C2" w:rsidRDefault="009103BD">
            <w:pPr>
              <w:pStyle w:val="TableParagraph"/>
              <w:spacing w:line="268" w:lineRule="exact"/>
              <w:ind w:left="108"/>
              <w:rPr>
                <w:b/>
                <w:color w:val="FFFFFF" w:themeColor="background1"/>
                <w:sz w:val="28"/>
              </w:rPr>
            </w:pPr>
            <w:r w:rsidRPr="001419C2">
              <w:rPr>
                <w:b/>
                <w:color w:val="FFFFFF" w:themeColor="background1"/>
                <w:sz w:val="28"/>
              </w:rPr>
              <w:t>Impact</w:t>
            </w:r>
          </w:p>
        </w:tc>
      </w:tr>
      <w:tr w:rsidR="008273D0" w:rsidTr="005A4794">
        <w:trPr>
          <w:trHeight w:val="2150"/>
        </w:trPr>
        <w:tc>
          <w:tcPr>
            <w:tcW w:w="1546" w:type="dxa"/>
          </w:tcPr>
          <w:p w:rsidR="008273D0" w:rsidRDefault="008273D0">
            <w:pPr>
              <w:pStyle w:val="TableParagraph"/>
              <w:spacing w:before="1"/>
              <w:ind w:right="539"/>
              <w:jc w:val="both"/>
              <w:rPr>
                <w:b/>
                <w:i/>
              </w:rPr>
            </w:pPr>
            <w:r>
              <w:rPr>
                <w:b/>
                <w:i/>
              </w:rPr>
              <w:t>Teaching</w:t>
            </w:r>
          </w:p>
        </w:tc>
        <w:tc>
          <w:tcPr>
            <w:tcW w:w="3634" w:type="dxa"/>
          </w:tcPr>
          <w:p w:rsidR="008273D0" w:rsidRPr="00455604" w:rsidRDefault="008273D0" w:rsidP="00455604">
            <w:pPr>
              <w:pStyle w:val="TableParagraph"/>
              <w:spacing w:before="1"/>
              <w:ind w:right="109"/>
            </w:pPr>
            <w:r w:rsidRPr="00455604">
              <w:t>Employment of highly experienced Teaching and Learning Consultant to develop a 3-year strategy, based on evidence informed practice that focuses on teacher development. By continuing to d</w:t>
            </w:r>
            <w:r w:rsidR="00455604" w:rsidRPr="00455604">
              <w:t>evelop the quality of teaching which will improve pupil outcomes</w:t>
            </w:r>
            <w:r w:rsidRPr="00455604">
              <w:t xml:space="preserve"> </w:t>
            </w:r>
          </w:p>
        </w:tc>
        <w:tc>
          <w:tcPr>
            <w:tcW w:w="2006" w:type="dxa"/>
          </w:tcPr>
          <w:p w:rsidR="008273D0" w:rsidRDefault="008273D0">
            <w:pPr>
              <w:pStyle w:val="TableParagraph"/>
              <w:spacing w:before="1"/>
              <w:ind w:right="124"/>
              <w:rPr>
                <w:i/>
              </w:rPr>
            </w:pPr>
            <w:r w:rsidRPr="008273D0">
              <w:rPr>
                <w:i/>
              </w:rPr>
              <w:t>DHT to develop and implement 3-year strategy focused on the de</w:t>
            </w:r>
            <w:r w:rsidR="00455604">
              <w:rPr>
                <w:i/>
              </w:rPr>
              <w:t xml:space="preserve">velopmental needs of the staff and students. </w:t>
            </w:r>
          </w:p>
          <w:p w:rsidR="00455604" w:rsidRDefault="00455604">
            <w:pPr>
              <w:pStyle w:val="TableParagraph"/>
              <w:spacing w:before="1"/>
              <w:ind w:right="124"/>
              <w:rPr>
                <w:i/>
              </w:rPr>
            </w:pPr>
            <w:r>
              <w:rPr>
                <w:i/>
              </w:rPr>
              <w:t>INSET Sept/Oct.</w:t>
            </w:r>
          </w:p>
          <w:p w:rsidR="00455604" w:rsidRDefault="00455604" w:rsidP="00455604">
            <w:pPr>
              <w:pStyle w:val="TableParagraph"/>
              <w:spacing w:before="1"/>
              <w:ind w:right="124"/>
              <w:rPr>
                <w:i/>
              </w:rPr>
            </w:pPr>
            <w:r>
              <w:rPr>
                <w:i/>
              </w:rPr>
              <w:t>Development of coaching groups.</w:t>
            </w:r>
          </w:p>
          <w:p w:rsidR="008273D0" w:rsidRPr="00455604" w:rsidRDefault="00455604" w:rsidP="00455604">
            <w:pPr>
              <w:pStyle w:val="TableParagraph"/>
              <w:spacing w:before="1"/>
              <w:ind w:right="124"/>
              <w:rPr>
                <w:i/>
              </w:rPr>
            </w:pPr>
            <w:r>
              <w:rPr>
                <w:i/>
              </w:rPr>
              <w:t>Improved outcomes</w:t>
            </w:r>
          </w:p>
        </w:tc>
        <w:tc>
          <w:tcPr>
            <w:tcW w:w="1630" w:type="dxa"/>
          </w:tcPr>
          <w:p w:rsidR="008273D0" w:rsidRDefault="00BD731B">
            <w:pPr>
              <w:pStyle w:val="TableParagraph"/>
              <w:spacing w:before="3" w:line="237" w:lineRule="auto"/>
              <w:ind w:left="108" w:right="373"/>
              <w:rPr>
                <w:b/>
                <w:i/>
              </w:rPr>
            </w:pPr>
            <w:r>
              <w:rPr>
                <w:b/>
                <w:i/>
              </w:rPr>
              <w:t xml:space="preserve">June </w:t>
            </w:r>
            <w:r w:rsidR="008273D0">
              <w:rPr>
                <w:b/>
                <w:i/>
              </w:rPr>
              <w:t>2021</w:t>
            </w:r>
          </w:p>
        </w:tc>
        <w:tc>
          <w:tcPr>
            <w:tcW w:w="992" w:type="dxa"/>
          </w:tcPr>
          <w:p w:rsidR="008273D0" w:rsidRDefault="008273D0" w:rsidP="00E862F4">
            <w:pPr>
              <w:pStyle w:val="TableParagraph"/>
              <w:spacing w:before="1"/>
              <w:ind w:left="108"/>
              <w:rPr>
                <w:b/>
                <w:i/>
              </w:rPr>
            </w:pPr>
            <w:r>
              <w:rPr>
                <w:b/>
                <w:i/>
              </w:rPr>
              <w:t>£6000</w:t>
            </w:r>
          </w:p>
        </w:tc>
        <w:tc>
          <w:tcPr>
            <w:tcW w:w="4819" w:type="dxa"/>
          </w:tcPr>
          <w:p w:rsidR="008273D0" w:rsidRPr="00455604" w:rsidRDefault="008273D0">
            <w:pPr>
              <w:pStyle w:val="TableParagraph"/>
              <w:ind w:left="0"/>
              <w:rPr>
                <w:rFonts w:asciiTheme="minorHAnsi" w:hAnsiTheme="minorHAnsi" w:cstheme="minorHAnsi"/>
              </w:rPr>
            </w:pPr>
            <w:r>
              <w:rPr>
                <w:rFonts w:ascii="Times New Roman"/>
              </w:rPr>
              <w:t xml:space="preserve"> </w:t>
            </w:r>
            <w:r w:rsidR="00455604">
              <w:rPr>
                <w:rFonts w:asciiTheme="minorHAnsi" w:hAnsiTheme="minorHAnsi" w:cstheme="minorHAnsi"/>
              </w:rPr>
              <w:t xml:space="preserve">It is too early to measure impact on pupil outcomes and learning independence. </w:t>
            </w:r>
          </w:p>
        </w:tc>
      </w:tr>
      <w:tr w:rsidR="00F8636F" w:rsidTr="005A4794">
        <w:trPr>
          <w:trHeight w:val="2150"/>
        </w:trPr>
        <w:tc>
          <w:tcPr>
            <w:tcW w:w="1546" w:type="dxa"/>
          </w:tcPr>
          <w:p w:rsidR="00F8636F" w:rsidRDefault="009103BD">
            <w:pPr>
              <w:pStyle w:val="TableParagraph"/>
              <w:spacing w:before="1"/>
              <w:ind w:right="539"/>
              <w:jc w:val="both"/>
              <w:rPr>
                <w:b/>
                <w:i/>
              </w:rPr>
            </w:pPr>
            <w:r>
              <w:rPr>
                <w:b/>
                <w:i/>
              </w:rPr>
              <w:t>Targeted</w:t>
            </w:r>
            <w:r>
              <w:rPr>
                <w:b/>
                <w:i/>
                <w:spacing w:val="1"/>
              </w:rPr>
              <w:t xml:space="preserve"> </w:t>
            </w:r>
            <w:r>
              <w:rPr>
                <w:b/>
                <w:i/>
              </w:rPr>
              <w:t>Academic</w:t>
            </w:r>
            <w:r>
              <w:rPr>
                <w:b/>
                <w:i/>
                <w:spacing w:val="-48"/>
              </w:rPr>
              <w:t xml:space="preserve"> </w:t>
            </w:r>
            <w:r>
              <w:rPr>
                <w:b/>
                <w:i/>
              </w:rPr>
              <w:t>Support</w:t>
            </w:r>
          </w:p>
        </w:tc>
        <w:tc>
          <w:tcPr>
            <w:tcW w:w="3634" w:type="dxa"/>
          </w:tcPr>
          <w:p w:rsidR="00E17DBD" w:rsidRPr="00455604" w:rsidRDefault="009103BD" w:rsidP="00E17DBD">
            <w:pPr>
              <w:pStyle w:val="TableParagraph"/>
              <w:spacing w:before="1"/>
              <w:ind w:right="109"/>
              <w:rPr>
                <w:i/>
              </w:rPr>
            </w:pPr>
            <w:r w:rsidRPr="00455604">
              <w:rPr>
                <w:i/>
              </w:rPr>
              <w:t>Small group tuition</w:t>
            </w:r>
            <w:r w:rsidR="0094284B" w:rsidRPr="00455604">
              <w:rPr>
                <w:i/>
              </w:rPr>
              <w:t>/1:1</w:t>
            </w:r>
            <w:r w:rsidRPr="00455604">
              <w:rPr>
                <w:i/>
              </w:rPr>
              <w:t xml:space="preserve"> for Y11 targeted</w:t>
            </w:r>
            <w:r w:rsidRPr="00455604">
              <w:rPr>
                <w:i/>
                <w:spacing w:val="1"/>
              </w:rPr>
              <w:t xml:space="preserve"> </w:t>
            </w:r>
            <w:r w:rsidRPr="00455604">
              <w:rPr>
                <w:i/>
              </w:rPr>
              <w:t>students in mathematics and English.</w:t>
            </w:r>
            <w:r w:rsidRPr="00455604">
              <w:rPr>
                <w:i/>
                <w:spacing w:val="-47"/>
              </w:rPr>
              <w:t xml:space="preserve"> </w:t>
            </w:r>
            <w:r w:rsidR="0094284B" w:rsidRPr="00455604">
              <w:rPr>
                <w:i/>
              </w:rPr>
              <w:t>Students to be tutored by a tutor who is regularly used by Settlebeck School and has a strong reputation for delivering progress for learners of all abilities including those with additional needs</w:t>
            </w:r>
            <w:r w:rsidRPr="00455604">
              <w:rPr>
                <w:i/>
                <w:spacing w:val="1"/>
              </w:rPr>
              <w:t xml:space="preserve"> </w:t>
            </w:r>
          </w:p>
          <w:p w:rsidR="00F8636F" w:rsidRDefault="00F8636F">
            <w:pPr>
              <w:pStyle w:val="TableParagraph"/>
              <w:spacing w:line="249" w:lineRule="exact"/>
              <w:rPr>
                <w:b/>
                <w:i/>
              </w:rPr>
            </w:pPr>
          </w:p>
        </w:tc>
        <w:tc>
          <w:tcPr>
            <w:tcW w:w="2006" w:type="dxa"/>
          </w:tcPr>
          <w:p w:rsidR="00F8636F" w:rsidRDefault="009103BD">
            <w:pPr>
              <w:pStyle w:val="TableParagraph"/>
              <w:spacing w:before="1"/>
              <w:ind w:right="124"/>
              <w:rPr>
                <w:i/>
              </w:rPr>
            </w:pPr>
            <w:r>
              <w:rPr>
                <w:i/>
              </w:rPr>
              <w:t>Small group</w:t>
            </w:r>
            <w:r>
              <w:rPr>
                <w:i/>
                <w:spacing w:val="1"/>
              </w:rPr>
              <w:t xml:space="preserve"> </w:t>
            </w:r>
            <w:r>
              <w:rPr>
                <w:i/>
              </w:rPr>
              <w:t>removal</w:t>
            </w:r>
            <w:r w:rsidR="0094284B">
              <w:rPr>
                <w:i/>
              </w:rPr>
              <w:t>/ online tuition over teams</w:t>
            </w:r>
            <w:r>
              <w:rPr>
                <w:i/>
              </w:rPr>
              <w:t xml:space="preserve"> to improve</w:t>
            </w:r>
            <w:r>
              <w:rPr>
                <w:i/>
                <w:spacing w:val="-47"/>
              </w:rPr>
              <w:t xml:space="preserve"> </w:t>
            </w:r>
            <w:r>
              <w:rPr>
                <w:i/>
              </w:rPr>
              <w:t>mathematics and</w:t>
            </w:r>
            <w:r>
              <w:rPr>
                <w:i/>
                <w:spacing w:val="1"/>
              </w:rPr>
              <w:t xml:space="preserve"> </w:t>
            </w:r>
            <w:r>
              <w:rPr>
                <w:i/>
              </w:rPr>
              <w:t>English in year 11,</w:t>
            </w:r>
            <w:r>
              <w:rPr>
                <w:i/>
                <w:spacing w:val="1"/>
              </w:rPr>
              <w:t xml:space="preserve"> </w:t>
            </w:r>
            <w:r>
              <w:rPr>
                <w:i/>
              </w:rPr>
              <w:t>students,</w:t>
            </w:r>
            <w:r>
              <w:rPr>
                <w:i/>
                <w:spacing w:val="1"/>
              </w:rPr>
              <w:t xml:space="preserve"> </w:t>
            </w:r>
            <w:r>
              <w:rPr>
                <w:i/>
              </w:rPr>
              <w:t>improvement of at</w:t>
            </w:r>
            <w:r>
              <w:rPr>
                <w:i/>
                <w:spacing w:val="1"/>
              </w:rPr>
              <w:t xml:space="preserve"> </w:t>
            </w:r>
            <w:r>
              <w:rPr>
                <w:i/>
              </w:rPr>
              <w:t>least</w:t>
            </w:r>
            <w:r>
              <w:rPr>
                <w:i/>
                <w:spacing w:val="-2"/>
              </w:rPr>
              <w:t xml:space="preserve"> </w:t>
            </w:r>
            <w:r>
              <w:rPr>
                <w:i/>
              </w:rPr>
              <w:t>one</w:t>
            </w:r>
            <w:r>
              <w:rPr>
                <w:i/>
                <w:spacing w:val="-1"/>
              </w:rPr>
              <w:t xml:space="preserve"> </w:t>
            </w:r>
            <w:r>
              <w:rPr>
                <w:i/>
              </w:rPr>
              <w:t>grade</w:t>
            </w:r>
            <w:r>
              <w:rPr>
                <w:i/>
                <w:spacing w:val="-1"/>
              </w:rPr>
              <w:t xml:space="preserve"> </w:t>
            </w:r>
            <w:r>
              <w:rPr>
                <w:i/>
              </w:rPr>
              <w:t>on</w:t>
            </w:r>
          </w:p>
          <w:p w:rsidR="00F8636F" w:rsidRDefault="009103BD">
            <w:pPr>
              <w:pStyle w:val="TableParagraph"/>
              <w:spacing w:line="249" w:lineRule="exact"/>
              <w:rPr>
                <w:i/>
              </w:rPr>
            </w:pPr>
            <w:r>
              <w:rPr>
                <w:i/>
              </w:rPr>
              <w:t>starting</w:t>
            </w:r>
            <w:r>
              <w:rPr>
                <w:i/>
                <w:spacing w:val="-4"/>
              </w:rPr>
              <w:t xml:space="preserve"> </w:t>
            </w:r>
            <w:r>
              <w:rPr>
                <w:i/>
              </w:rPr>
              <w:t>points.</w:t>
            </w:r>
          </w:p>
        </w:tc>
        <w:tc>
          <w:tcPr>
            <w:tcW w:w="1630" w:type="dxa"/>
          </w:tcPr>
          <w:p w:rsidR="00F8636F" w:rsidRDefault="005A4794">
            <w:pPr>
              <w:pStyle w:val="TableParagraph"/>
              <w:spacing w:before="3" w:line="237" w:lineRule="auto"/>
              <w:ind w:left="108" w:right="373"/>
              <w:rPr>
                <w:b/>
                <w:i/>
              </w:rPr>
            </w:pPr>
            <w:r>
              <w:rPr>
                <w:b/>
                <w:i/>
              </w:rPr>
              <w:t>September 20</w:t>
            </w:r>
          </w:p>
        </w:tc>
        <w:tc>
          <w:tcPr>
            <w:tcW w:w="992" w:type="dxa"/>
          </w:tcPr>
          <w:p w:rsidR="00E862F4" w:rsidRDefault="009103BD" w:rsidP="00E862F4">
            <w:pPr>
              <w:pStyle w:val="TableParagraph"/>
              <w:spacing w:before="1"/>
              <w:ind w:left="108"/>
              <w:rPr>
                <w:b/>
                <w:i/>
              </w:rPr>
            </w:pPr>
            <w:r>
              <w:rPr>
                <w:b/>
                <w:i/>
              </w:rPr>
              <w:t>£</w:t>
            </w:r>
            <w:r w:rsidR="00E862F4">
              <w:rPr>
                <w:b/>
                <w:i/>
              </w:rPr>
              <w:t>1000</w:t>
            </w:r>
          </w:p>
        </w:tc>
        <w:tc>
          <w:tcPr>
            <w:tcW w:w="4819" w:type="dxa"/>
          </w:tcPr>
          <w:p w:rsidR="00F8636F" w:rsidRPr="00E862F4" w:rsidRDefault="00E862F4">
            <w:pPr>
              <w:pStyle w:val="TableParagraph"/>
              <w:ind w:left="0"/>
            </w:pPr>
            <w:r>
              <w:rPr>
                <w:rFonts w:ascii="Times New Roman"/>
              </w:rPr>
              <w:t xml:space="preserve"> </w:t>
            </w:r>
            <w:r>
              <w:t xml:space="preserve">Due to the pandemic, exams did not go ahead as normal with grades being awarded based on Teacher Assessed grades. A robust system was implemented to ensure that students were awarded grades based on clear evidence. National data sets are unavailable to make national comparisons. All students, with the exception of one, progressed to the post-16 study of their choice. </w:t>
            </w:r>
          </w:p>
        </w:tc>
      </w:tr>
      <w:tr w:rsidR="00F8636F" w:rsidTr="00455604">
        <w:trPr>
          <w:trHeight w:val="2400"/>
        </w:trPr>
        <w:tc>
          <w:tcPr>
            <w:tcW w:w="1546" w:type="dxa"/>
          </w:tcPr>
          <w:p w:rsidR="00F8636F" w:rsidRDefault="009103BD">
            <w:pPr>
              <w:pStyle w:val="TableParagraph"/>
              <w:ind w:right="539"/>
              <w:jc w:val="both"/>
              <w:rPr>
                <w:b/>
                <w:i/>
              </w:rPr>
            </w:pPr>
            <w:r>
              <w:rPr>
                <w:b/>
                <w:i/>
              </w:rPr>
              <w:lastRenderedPageBreak/>
              <w:t>Targeted</w:t>
            </w:r>
            <w:r>
              <w:rPr>
                <w:b/>
                <w:i/>
                <w:spacing w:val="1"/>
              </w:rPr>
              <w:t xml:space="preserve"> </w:t>
            </w:r>
            <w:r>
              <w:rPr>
                <w:b/>
                <w:i/>
              </w:rPr>
              <w:t>Academic</w:t>
            </w:r>
            <w:r>
              <w:rPr>
                <w:b/>
                <w:i/>
                <w:spacing w:val="-48"/>
              </w:rPr>
              <w:t xml:space="preserve"> </w:t>
            </w:r>
            <w:r>
              <w:rPr>
                <w:b/>
                <w:i/>
              </w:rPr>
              <w:t>Support</w:t>
            </w:r>
          </w:p>
        </w:tc>
        <w:tc>
          <w:tcPr>
            <w:tcW w:w="3634" w:type="dxa"/>
          </w:tcPr>
          <w:p w:rsidR="00F8636F" w:rsidRPr="00455604" w:rsidRDefault="009103BD">
            <w:pPr>
              <w:pStyle w:val="TableParagraph"/>
              <w:spacing w:line="268" w:lineRule="exact"/>
              <w:rPr>
                <w:i/>
              </w:rPr>
            </w:pPr>
            <w:r w:rsidRPr="00455604">
              <w:rPr>
                <w:i/>
              </w:rPr>
              <w:t>Tailored</w:t>
            </w:r>
            <w:r w:rsidRPr="00455604">
              <w:rPr>
                <w:i/>
                <w:spacing w:val="-3"/>
              </w:rPr>
              <w:t xml:space="preserve"> </w:t>
            </w:r>
            <w:r w:rsidR="00E17DBD" w:rsidRPr="00455604">
              <w:rPr>
                <w:i/>
              </w:rPr>
              <w:t>catch up for students</w:t>
            </w:r>
          </w:p>
          <w:p w:rsidR="00F8636F" w:rsidRPr="00455604" w:rsidRDefault="00E17DBD" w:rsidP="00E17DBD">
            <w:pPr>
              <w:pStyle w:val="TableParagraph"/>
              <w:ind w:right="123"/>
              <w:rPr>
                <w:i/>
              </w:rPr>
            </w:pPr>
            <w:r w:rsidRPr="00455604">
              <w:rPr>
                <w:i/>
              </w:rPr>
              <w:t>Year 7,8,10</w:t>
            </w:r>
            <w:r w:rsidR="00E862F4" w:rsidRPr="00455604">
              <w:rPr>
                <w:i/>
              </w:rPr>
              <w:t xml:space="preserve"> students with an</w:t>
            </w:r>
            <w:r w:rsidR="009103BD" w:rsidRPr="00455604">
              <w:rPr>
                <w:i/>
              </w:rPr>
              <w:t xml:space="preserve"> </w:t>
            </w:r>
            <w:r w:rsidRPr="00455604">
              <w:rPr>
                <w:i/>
              </w:rPr>
              <w:t>experience</w:t>
            </w:r>
            <w:r w:rsidR="00E862F4" w:rsidRPr="00455604">
              <w:rPr>
                <w:i/>
              </w:rPr>
              <w:t>d</w:t>
            </w:r>
            <w:r w:rsidRPr="00455604">
              <w:rPr>
                <w:i/>
              </w:rPr>
              <w:t xml:space="preserve"> tutor to conduct</w:t>
            </w:r>
            <w:r w:rsidR="009103BD" w:rsidRPr="00455604">
              <w:rPr>
                <w:i/>
              </w:rPr>
              <w:t xml:space="preserve"> lessons</w:t>
            </w:r>
            <w:r w:rsidR="009103BD" w:rsidRPr="00455604">
              <w:rPr>
                <w:i/>
                <w:spacing w:val="1"/>
              </w:rPr>
              <w:t xml:space="preserve"> </w:t>
            </w:r>
            <w:r w:rsidR="009103BD" w:rsidRPr="00455604">
              <w:rPr>
                <w:i/>
              </w:rPr>
              <w:t>in person</w:t>
            </w:r>
            <w:r w:rsidR="009103BD" w:rsidRPr="00455604">
              <w:rPr>
                <w:i/>
                <w:spacing w:val="1"/>
              </w:rPr>
              <w:t xml:space="preserve"> </w:t>
            </w:r>
            <w:r w:rsidRPr="00455604">
              <w:rPr>
                <w:i/>
              </w:rPr>
              <w:t>to targeted students. St</w:t>
            </w:r>
            <w:r w:rsidR="009103BD" w:rsidRPr="00455604">
              <w:rPr>
                <w:i/>
              </w:rPr>
              <w:t>u</w:t>
            </w:r>
            <w:r w:rsidRPr="00455604">
              <w:rPr>
                <w:i/>
              </w:rPr>
              <w:t>d</w:t>
            </w:r>
            <w:r w:rsidR="009103BD" w:rsidRPr="00455604">
              <w:rPr>
                <w:i/>
              </w:rPr>
              <w:t>ents</w:t>
            </w:r>
            <w:r w:rsidR="009103BD" w:rsidRPr="00455604">
              <w:rPr>
                <w:i/>
                <w:spacing w:val="1"/>
              </w:rPr>
              <w:t xml:space="preserve"> </w:t>
            </w:r>
            <w:r w:rsidR="009103BD" w:rsidRPr="00455604">
              <w:rPr>
                <w:i/>
              </w:rPr>
              <w:t>identified</w:t>
            </w:r>
            <w:r w:rsidR="009103BD" w:rsidRPr="00455604">
              <w:rPr>
                <w:i/>
                <w:spacing w:val="-4"/>
              </w:rPr>
              <w:t xml:space="preserve"> </w:t>
            </w:r>
            <w:r w:rsidR="009103BD" w:rsidRPr="00455604">
              <w:rPr>
                <w:i/>
              </w:rPr>
              <w:t>following</w:t>
            </w:r>
            <w:r w:rsidR="009103BD" w:rsidRPr="00455604">
              <w:rPr>
                <w:i/>
                <w:spacing w:val="-3"/>
              </w:rPr>
              <w:t xml:space="preserve"> </w:t>
            </w:r>
            <w:r w:rsidR="009103BD" w:rsidRPr="00455604">
              <w:rPr>
                <w:i/>
              </w:rPr>
              <w:t>baseline</w:t>
            </w:r>
            <w:r w:rsidR="009103BD" w:rsidRPr="00455604">
              <w:rPr>
                <w:i/>
                <w:spacing w:val="-2"/>
              </w:rPr>
              <w:t xml:space="preserve"> </w:t>
            </w:r>
            <w:r w:rsidRPr="00455604">
              <w:rPr>
                <w:i/>
              </w:rPr>
              <w:t>tests and discussions with teaching staff</w:t>
            </w:r>
            <w:r w:rsidR="004671B9" w:rsidRPr="00455604">
              <w:rPr>
                <w:i/>
              </w:rPr>
              <w:t>.</w:t>
            </w:r>
          </w:p>
          <w:p w:rsidR="004671B9" w:rsidRDefault="004671B9" w:rsidP="004671B9">
            <w:pPr>
              <w:pStyle w:val="TableParagraph"/>
              <w:ind w:right="151"/>
              <w:rPr>
                <w:b/>
                <w:i/>
              </w:rPr>
            </w:pPr>
            <w:r w:rsidRPr="00455604">
              <w:rPr>
                <w:i/>
              </w:rPr>
              <w:t>Contingency reserve to support</w:t>
            </w:r>
            <w:r w:rsidRPr="00455604">
              <w:rPr>
                <w:i/>
                <w:spacing w:val="1"/>
              </w:rPr>
              <w:t xml:space="preserve"> </w:t>
            </w:r>
            <w:r w:rsidRPr="00455604">
              <w:rPr>
                <w:i/>
              </w:rPr>
              <w:t>findings</w:t>
            </w:r>
            <w:r w:rsidRPr="00455604">
              <w:rPr>
                <w:i/>
                <w:spacing w:val="-5"/>
              </w:rPr>
              <w:t xml:space="preserve"> </w:t>
            </w:r>
            <w:r w:rsidRPr="00455604">
              <w:rPr>
                <w:i/>
              </w:rPr>
              <w:t>from</w:t>
            </w:r>
            <w:r w:rsidRPr="00455604">
              <w:rPr>
                <w:i/>
                <w:spacing w:val="-3"/>
              </w:rPr>
              <w:t xml:space="preserve"> </w:t>
            </w:r>
            <w:r w:rsidRPr="00455604">
              <w:rPr>
                <w:i/>
              </w:rPr>
              <w:t>GL</w:t>
            </w:r>
            <w:r w:rsidRPr="00455604">
              <w:rPr>
                <w:i/>
                <w:spacing w:val="-4"/>
              </w:rPr>
              <w:t xml:space="preserve"> </w:t>
            </w:r>
            <w:r w:rsidRPr="00455604">
              <w:rPr>
                <w:i/>
              </w:rPr>
              <w:t>assessments</w:t>
            </w:r>
            <w:r w:rsidRPr="00455604">
              <w:rPr>
                <w:i/>
                <w:spacing w:val="-3"/>
              </w:rPr>
              <w:t xml:space="preserve"> </w:t>
            </w:r>
            <w:r w:rsidRPr="00455604">
              <w:rPr>
                <w:i/>
              </w:rPr>
              <w:t xml:space="preserve">in Year 7-10. </w:t>
            </w:r>
          </w:p>
        </w:tc>
        <w:tc>
          <w:tcPr>
            <w:tcW w:w="2006" w:type="dxa"/>
          </w:tcPr>
          <w:p w:rsidR="00F8636F" w:rsidRDefault="009103BD">
            <w:pPr>
              <w:pStyle w:val="TableParagraph"/>
              <w:ind w:right="81"/>
              <w:rPr>
                <w:i/>
              </w:rPr>
            </w:pPr>
            <w:r>
              <w:rPr>
                <w:i/>
              </w:rPr>
              <w:t>Access for targeted</w:t>
            </w:r>
            <w:r>
              <w:rPr>
                <w:i/>
                <w:spacing w:val="1"/>
              </w:rPr>
              <w:t xml:space="preserve"> </w:t>
            </w:r>
            <w:r>
              <w:rPr>
                <w:i/>
              </w:rPr>
              <w:t>students to get</w:t>
            </w:r>
            <w:r>
              <w:rPr>
                <w:i/>
                <w:spacing w:val="1"/>
              </w:rPr>
              <w:t xml:space="preserve"> </w:t>
            </w:r>
            <w:r>
              <w:rPr>
                <w:i/>
              </w:rPr>
              <w:t>small group support</w:t>
            </w:r>
            <w:r>
              <w:rPr>
                <w:i/>
                <w:spacing w:val="-47"/>
              </w:rPr>
              <w:t xml:space="preserve"> </w:t>
            </w:r>
            <w:r>
              <w:rPr>
                <w:i/>
              </w:rPr>
              <w:t>in</w:t>
            </w:r>
            <w:r>
              <w:rPr>
                <w:i/>
                <w:spacing w:val="-1"/>
              </w:rPr>
              <w:t xml:space="preserve"> </w:t>
            </w:r>
            <w:r>
              <w:rPr>
                <w:i/>
              </w:rPr>
              <w:t>specific</w:t>
            </w:r>
            <w:r>
              <w:rPr>
                <w:i/>
                <w:spacing w:val="-1"/>
              </w:rPr>
              <w:t xml:space="preserve"> </w:t>
            </w:r>
            <w:r>
              <w:rPr>
                <w:i/>
              </w:rPr>
              <w:t>areas.</w:t>
            </w:r>
          </w:p>
          <w:p w:rsidR="00F8636F" w:rsidRDefault="009103BD">
            <w:pPr>
              <w:pStyle w:val="TableParagraph"/>
              <w:ind w:right="164"/>
              <w:rPr>
                <w:i/>
              </w:rPr>
            </w:pPr>
            <w:r>
              <w:rPr>
                <w:i/>
              </w:rPr>
              <w:t>Students that are</w:t>
            </w:r>
            <w:r>
              <w:rPr>
                <w:i/>
                <w:spacing w:val="1"/>
              </w:rPr>
              <w:t xml:space="preserve"> </w:t>
            </w:r>
            <w:r>
              <w:rPr>
                <w:i/>
              </w:rPr>
              <w:t>targeted to attend,</w:t>
            </w:r>
            <w:r>
              <w:rPr>
                <w:i/>
                <w:spacing w:val="-47"/>
              </w:rPr>
              <w:t xml:space="preserve"> </w:t>
            </w:r>
            <w:r>
              <w:rPr>
                <w:i/>
              </w:rPr>
              <w:t>have at least 90%</w:t>
            </w:r>
            <w:r>
              <w:rPr>
                <w:i/>
                <w:spacing w:val="1"/>
              </w:rPr>
              <w:t xml:space="preserve"> </w:t>
            </w:r>
            <w:r>
              <w:rPr>
                <w:i/>
              </w:rPr>
              <w:t>engagement</w:t>
            </w:r>
            <w:r>
              <w:rPr>
                <w:i/>
                <w:spacing w:val="-1"/>
              </w:rPr>
              <w:t xml:space="preserve"> </w:t>
            </w:r>
            <w:r>
              <w:rPr>
                <w:i/>
              </w:rPr>
              <w:t>in</w:t>
            </w:r>
          </w:p>
          <w:p w:rsidR="00F8636F" w:rsidRDefault="009103BD">
            <w:pPr>
              <w:pStyle w:val="TableParagraph"/>
              <w:spacing w:line="249" w:lineRule="exact"/>
              <w:rPr>
                <w:i/>
              </w:rPr>
            </w:pPr>
            <w:r>
              <w:rPr>
                <w:i/>
              </w:rPr>
              <w:t>sessions.</w:t>
            </w:r>
            <w:r>
              <w:rPr>
                <w:i/>
                <w:spacing w:val="-5"/>
              </w:rPr>
              <w:t xml:space="preserve"> </w:t>
            </w:r>
            <w:r>
              <w:rPr>
                <w:i/>
              </w:rPr>
              <w:t>Students</w:t>
            </w:r>
            <w:r w:rsidR="00E17DBD">
              <w:rPr>
                <w:i/>
              </w:rPr>
              <w:t xml:space="preserve"> to improve by at</w:t>
            </w:r>
            <w:r w:rsidR="00E17DBD">
              <w:rPr>
                <w:i/>
                <w:spacing w:val="1"/>
              </w:rPr>
              <w:t xml:space="preserve"> </w:t>
            </w:r>
            <w:r w:rsidR="00E17DBD">
              <w:rPr>
                <w:i/>
              </w:rPr>
              <w:t>least one grade and/or improved standardised score on benchmarked tests in</w:t>
            </w:r>
            <w:r w:rsidR="00E17DBD">
              <w:rPr>
                <w:i/>
                <w:spacing w:val="1"/>
              </w:rPr>
              <w:t xml:space="preserve"> </w:t>
            </w:r>
            <w:r w:rsidR="00E17DBD">
              <w:rPr>
                <w:i/>
              </w:rPr>
              <w:t>target subject from</w:t>
            </w:r>
            <w:r w:rsidR="00E17DBD">
              <w:rPr>
                <w:i/>
                <w:spacing w:val="-47"/>
              </w:rPr>
              <w:t xml:space="preserve">  </w:t>
            </w:r>
            <w:r>
              <w:rPr>
                <w:i/>
                <w:spacing w:val="-47"/>
              </w:rPr>
              <w:t xml:space="preserve"> </w:t>
            </w:r>
            <w:r w:rsidR="00E17DBD">
              <w:rPr>
                <w:i/>
              </w:rPr>
              <w:t>baseline starting</w:t>
            </w:r>
            <w:r w:rsidR="00E17DBD">
              <w:rPr>
                <w:i/>
                <w:spacing w:val="1"/>
              </w:rPr>
              <w:t xml:space="preserve"> </w:t>
            </w:r>
            <w:r w:rsidR="00E17DBD">
              <w:rPr>
                <w:i/>
              </w:rPr>
              <w:t>point.</w:t>
            </w:r>
          </w:p>
        </w:tc>
        <w:tc>
          <w:tcPr>
            <w:tcW w:w="1630" w:type="dxa"/>
          </w:tcPr>
          <w:p w:rsidR="00F8636F" w:rsidRPr="00455604" w:rsidRDefault="00E862F4">
            <w:pPr>
              <w:pStyle w:val="TableParagraph"/>
              <w:ind w:left="108" w:right="362"/>
              <w:rPr>
                <w:i/>
              </w:rPr>
            </w:pPr>
            <w:r w:rsidRPr="00455604">
              <w:rPr>
                <w:i/>
              </w:rPr>
              <w:t>March 2020</w:t>
            </w:r>
          </w:p>
        </w:tc>
        <w:tc>
          <w:tcPr>
            <w:tcW w:w="992" w:type="dxa"/>
          </w:tcPr>
          <w:p w:rsidR="00F8636F" w:rsidRPr="00455604" w:rsidRDefault="009103BD" w:rsidP="00E17DBD">
            <w:pPr>
              <w:pStyle w:val="TableParagraph"/>
              <w:spacing w:line="268" w:lineRule="exact"/>
              <w:ind w:left="108"/>
              <w:rPr>
                <w:i/>
              </w:rPr>
            </w:pPr>
            <w:r w:rsidRPr="00455604">
              <w:rPr>
                <w:i/>
              </w:rPr>
              <w:t>£</w:t>
            </w:r>
            <w:r w:rsidR="00E17DBD" w:rsidRPr="00455604">
              <w:rPr>
                <w:i/>
              </w:rPr>
              <w:t>5000</w:t>
            </w:r>
          </w:p>
        </w:tc>
        <w:tc>
          <w:tcPr>
            <w:tcW w:w="4819" w:type="dxa"/>
          </w:tcPr>
          <w:p w:rsidR="00F8636F" w:rsidRDefault="004671B9">
            <w:pPr>
              <w:pStyle w:val="TableParagraph"/>
              <w:ind w:left="0"/>
              <w:rPr>
                <w:rFonts w:ascii="Times New Roman"/>
              </w:rPr>
            </w:pPr>
            <w:r>
              <w:rPr>
                <w:rFonts w:ascii="Times New Roman"/>
              </w:rPr>
              <w:t xml:space="preserve">Tuition is continuing into the autumn term with an impact report available by January 2022. During the summer term, targeted catch up was focused on the English. In the autumn term the focus has been on mathematics. </w:t>
            </w:r>
          </w:p>
          <w:p w:rsidR="004671B9" w:rsidRDefault="004671B9">
            <w:pPr>
              <w:pStyle w:val="TableParagraph"/>
              <w:ind w:left="0"/>
              <w:rPr>
                <w:rFonts w:ascii="Times New Roman"/>
              </w:rPr>
            </w:pPr>
            <w:r>
              <w:rPr>
                <w:rFonts w:ascii="Times New Roman"/>
              </w:rPr>
              <w:t>At the end of the summer term reading scores in Year 7 had improved from a SAS 99.74 to 100.84 in July, an increase of +1.15.</w:t>
            </w:r>
          </w:p>
          <w:p w:rsidR="004671B9" w:rsidRDefault="004671B9">
            <w:pPr>
              <w:pStyle w:val="TableParagraph"/>
              <w:ind w:left="0"/>
              <w:rPr>
                <w:rFonts w:ascii="Times New Roman"/>
              </w:rPr>
            </w:pPr>
            <w:r>
              <w:rPr>
                <w:rFonts w:ascii="Times New Roman"/>
              </w:rPr>
              <w:t xml:space="preserve">In Year 8 and Year 9 there was no improvement in reading scores. In Year 10 reading improved from 106.01 to 107.1, an increase of +1. </w:t>
            </w:r>
          </w:p>
          <w:p w:rsidR="004671B9" w:rsidRDefault="004671B9">
            <w:pPr>
              <w:pStyle w:val="TableParagraph"/>
              <w:ind w:left="0"/>
              <w:rPr>
                <w:rFonts w:ascii="Times New Roman"/>
              </w:rPr>
            </w:pPr>
            <w:r>
              <w:rPr>
                <w:rFonts w:ascii="Times New Roman"/>
              </w:rPr>
              <w:t xml:space="preserve">In Mathematics students improved by + 6.56 in Year 7 and +6.18 in Year 8. </w:t>
            </w:r>
          </w:p>
          <w:p w:rsidR="004671B9" w:rsidRDefault="004671B9">
            <w:pPr>
              <w:pStyle w:val="TableParagraph"/>
              <w:ind w:left="0"/>
              <w:rPr>
                <w:rFonts w:ascii="Times New Roman"/>
              </w:rPr>
            </w:pPr>
            <w:r>
              <w:rPr>
                <w:rFonts w:ascii="Times New Roman"/>
              </w:rPr>
              <w:t>The above figures relate to the whole cohort not just those receiving extra tuition. This report will be available in January 2022.</w:t>
            </w:r>
          </w:p>
        </w:tc>
      </w:tr>
    </w:tbl>
    <w:p w:rsidR="00F8636F" w:rsidRDefault="00F8636F">
      <w:pPr>
        <w:rPr>
          <w:rFonts w:ascii="Times New Roman"/>
        </w:rPr>
        <w:sectPr w:rsidR="00F8636F">
          <w:footerReference w:type="default" r:id="rId9"/>
          <w:pgSz w:w="16840" w:h="11910" w:orient="landscape"/>
          <w:pgMar w:top="540" w:right="1320" w:bottom="280" w:left="1340" w:header="720" w:footer="720" w:gutter="0"/>
          <w:cols w:space="720"/>
        </w:sectPr>
      </w:pPr>
    </w:p>
    <w:tbl>
      <w:tblPr>
        <w:tblW w:w="1462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6"/>
        <w:gridCol w:w="3634"/>
        <w:gridCol w:w="2006"/>
        <w:gridCol w:w="1630"/>
        <w:gridCol w:w="992"/>
        <w:gridCol w:w="4819"/>
      </w:tblGrid>
      <w:tr w:rsidR="005A4794" w:rsidTr="005A4794">
        <w:trPr>
          <w:trHeight w:val="2419"/>
        </w:trPr>
        <w:tc>
          <w:tcPr>
            <w:tcW w:w="1546" w:type="dxa"/>
          </w:tcPr>
          <w:p w:rsidR="005A4794" w:rsidRDefault="005A4794" w:rsidP="005A4794">
            <w:pPr>
              <w:pStyle w:val="TableParagraph"/>
              <w:ind w:right="523"/>
              <w:rPr>
                <w:b/>
                <w:i/>
              </w:rPr>
            </w:pPr>
            <w:r>
              <w:rPr>
                <w:b/>
                <w:i/>
              </w:rPr>
              <w:lastRenderedPageBreak/>
              <w:t>Targeted</w:t>
            </w:r>
            <w:r>
              <w:rPr>
                <w:b/>
                <w:i/>
                <w:spacing w:val="1"/>
              </w:rPr>
              <w:t xml:space="preserve"> </w:t>
            </w:r>
            <w:r>
              <w:rPr>
                <w:b/>
                <w:i/>
              </w:rPr>
              <w:t>Academic</w:t>
            </w:r>
          </w:p>
          <w:p w:rsidR="005A4794" w:rsidRDefault="005A4794" w:rsidP="005A4794">
            <w:pPr>
              <w:pStyle w:val="TableParagraph"/>
              <w:ind w:right="487"/>
              <w:rPr>
                <w:b/>
                <w:i/>
              </w:rPr>
            </w:pPr>
            <w:r>
              <w:rPr>
                <w:b/>
                <w:i/>
              </w:rPr>
              <w:t>Support</w:t>
            </w:r>
          </w:p>
        </w:tc>
        <w:tc>
          <w:tcPr>
            <w:tcW w:w="3634" w:type="dxa"/>
          </w:tcPr>
          <w:p w:rsidR="005A4794" w:rsidRPr="00455604" w:rsidRDefault="005A4794" w:rsidP="00E17DBD">
            <w:pPr>
              <w:pStyle w:val="TableParagraph"/>
              <w:ind w:right="205"/>
              <w:rPr>
                <w:i/>
              </w:rPr>
            </w:pPr>
            <w:r w:rsidRPr="00455604">
              <w:rPr>
                <w:i/>
              </w:rPr>
              <w:t>Spelling across the school is below national average of 100 standardised scores. Improve spelling through intervention and teaching strategies in the classroom</w:t>
            </w:r>
          </w:p>
        </w:tc>
        <w:tc>
          <w:tcPr>
            <w:tcW w:w="2006" w:type="dxa"/>
          </w:tcPr>
          <w:p w:rsidR="005A4794" w:rsidRPr="005A4794" w:rsidRDefault="005A4794">
            <w:pPr>
              <w:pStyle w:val="TableParagraph"/>
              <w:ind w:right="164"/>
              <w:rPr>
                <w:i/>
              </w:rPr>
            </w:pPr>
            <w:r w:rsidRPr="005A4794">
              <w:rPr>
                <w:i/>
              </w:rPr>
              <w:t xml:space="preserve">Spellzone programme for targeted students, along with small group intervention for those that need more specific support. Whole school strategy to be developed and implemented. </w:t>
            </w:r>
          </w:p>
        </w:tc>
        <w:tc>
          <w:tcPr>
            <w:tcW w:w="1630" w:type="dxa"/>
          </w:tcPr>
          <w:p w:rsidR="005A4794" w:rsidRDefault="004671B9">
            <w:pPr>
              <w:pStyle w:val="TableParagraph"/>
              <w:ind w:left="108" w:right="373"/>
              <w:rPr>
                <w:b/>
                <w:i/>
              </w:rPr>
            </w:pPr>
            <w:r>
              <w:rPr>
                <w:b/>
                <w:i/>
              </w:rPr>
              <w:t>December 2021</w:t>
            </w:r>
          </w:p>
        </w:tc>
        <w:tc>
          <w:tcPr>
            <w:tcW w:w="992" w:type="dxa"/>
          </w:tcPr>
          <w:p w:rsidR="005A4794" w:rsidRDefault="005A4794" w:rsidP="00E17DBD">
            <w:pPr>
              <w:pStyle w:val="TableParagraph"/>
              <w:spacing w:line="268" w:lineRule="exact"/>
              <w:ind w:left="108"/>
              <w:rPr>
                <w:b/>
                <w:i/>
              </w:rPr>
            </w:pPr>
            <w:r>
              <w:rPr>
                <w:b/>
                <w:i/>
              </w:rPr>
              <w:t>£1200</w:t>
            </w:r>
          </w:p>
        </w:tc>
        <w:tc>
          <w:tcPr>
            <w:tcW w:w="4819" w:type="dxa"/>
          </w:tcPr>
          <w:p w:rsidR="005A4794" w:rsidRDefault="004671B9">
            <w:pPr>
              <w:pStyle w:val="TableParagraph"/>
              <w:ind w:left="0"/>
              <w:rPr>
                <w:rFonts w:ascii="Times New Roman"/>
              </w:rPr>
            </w:pPr>
            <w:r>
              <w:rPr>
                <w:rFonts w:ascii="Times New Roman"/>
              </w:rPr>
              <w:t xml:space="preserve"> </w:t>
            </w:r>
          </w:p>
        </w:tc>
      </w:tr>
      <w:tr w:rsidR="00F8636F" w:rsidTr="005A4794">
        <w:trPr>
          <w:trHeight w:val="2419"/>
        </w:trPr>
        <w:tc>
          <w:tcPr>
            <w:tcW w:w="1546" w:type="dxa"/>
          </w:tcPr>
          <w:p w:rsidR="00F8636F" w:rsidRDefault="00455604">
            <w:pPr>
              <w:pStyle w:val="TableParagraph"/>
              <w:ind w:right="487"/>
              <w:rPr>
                <w:b/>
                <w:i/>
              </w:rPr>
            </w:pPr>
            <w:r>
              <w:rPr>
                <w:b/>
                <w:i/>
              </w:rPr>
              <w:t>Targeted Academic Support</w:t>
            </w:r>
          </w:p>
        </w:tc>
        <w:tc>
          <w:tcPr>
            <w:tcW w:w="3634" w:type="dxa"/>
          </w:tcPr>
          <w:p w:rsidR="00F8636F" w:rsidRPr="00455604" w:rsidRDefault="004671B9" w:rsidP="008273D0">
            <w:pPr>
              <w:pStyle w:val="TableParagraph"/>
              <w:ind w:right="205"/>
              <w:rPr>
                <w:i/>
              </w:rPr>
            </w:pPr>
            <w:r w:rsidRPr="00455604">
              <w:rPr>
                <w:i/>
              </w:rPr>
              <w:t>Students in years 7 – 10</w:t>
            </w:r>
            <w:r w:rsidR="009103BD" w:rsidRPr="00455604">
              <w:rPr>
                <w:i/>
              </w:rPr>
              <w:t xml:space="preserve"> to complete</w:t>
            </w:r>
            <w:r w:rsidR="009103BD" w:rsidRPr="00455604">
              <w:rPr>
                <w:i/>
                <w:spacing w:val="1"/>
              </w:rPr>
              <w:t xml:space="preserve"> </w:t>
            </w:r>
            <w:r w:rsidR="009103BD" w:rsidRPr="00455604">
              <w:rPr>
                <w:i/>
              </w:rPr>
              <w:t>GL reading tests</w:t>
            </w:r>
            <w:r w:rsidR="005A4794" w:rsidRPr="00455604">
              <w:rPr>
                <w:i/>
              </w:rPr>
              <w:t xml:space="preserve"> termly</w:t>
            </w:r>
            <w:r w:rsidR="008273D0" w:rsidRPr="00455604">
              <w:rPr>
                <w:i/>
              </w:rPr>
              <w:t xml:space="preserve"> to identify students </w:t>
            </w:r>
            <w:r w:rsidR="009103BD" w:rsidRPr="00455604">
              <w:rPr>
                <w:i/>
                <w:spacing w:val="-47"/>
              </w:rPr>
              <w:t xml:space="preserve"> </w:t>
            </w:r>
            <w:r w:rsidR="008273D0" w:rsidRPr="00455604">
              <w:rPr>
                <w:i/>
                <w:spacing w:val="-47"/>
              </w:rPr>
              <w:t xml:space="preserve">    </w:t>
            </w:r>
            <w:r w:rsidR="009103BD" w:rsidRPr="00455604">
              <w:rPr>
                <w:i/>
              </w:rPr>
              <w:t>where reading and SPAG may limit</w:t>
            </w:r>
            <w:r w:rsidR="009103BD" w:rsidRPr="00455604">
              <w:rPr>
                <w:i/>
                <w:spacing w:val="1"/>
              </w:rPr>
              <w:t xml:space="preserve"> </w:t>
            </w:r>
            <w:r w:rsidR="009103BD" w:rsidRPr="00455604">
              <w:rPr>
                <w:i/>
              </w:rPr>
              <w:t>progres</w:t>
            </w:r>
            <w:bookmarkStart w:id="0" w:name="_GoBack"/>
            <w:bookmarkEnd w:id="0"/>
            <w:r w:rsidR="009103BD" w:rsidRPr="00455604">
              <w:rPr>
                <w:i/>
              </w:rPr>
              <w:t xml:space="preserve">s. </w:t>
            </w:r>
          </w:p>
        </w:tc>
        <w:tc>
          <w:tcPr>
            <w:tcW w:w="2006" w:type="dxa"/>
          </w:tcPr>
          <w:p w:rsidR="00F8636F" w:rsidRPr="005A4794" w:rsidRDefault="009103BD">
            <w:pPr>
              <w:pStyle w:val="TableParagraph"/>
              <w:ind w:right="164"/>
              <w:rPr>
                <w:i/>
              </w:rPr>
            </w:pPr>
            <w:r w:rsidRPr="005A4794">
              <w:rPr>
                <w:i/>
              </w:rPr>
              <w:t>GL Assessment</w:t>
            </w:r>
            <w:r w:rsidRPr="005A4794">
              <w:rPr>
                <w:i/>
                <w:spacing w:val="1"/>
              </w:rPr>
              <w:t xml:space="preserve"> </w:t>
            </w:r>
            <w:r w:rsidRPr="005A4794">
              <w:rPr>
                <w:i/>
              </w:rPr>
              <w:t>shows that</w:t>
            </w:r>
            <w:r w:rsidRPr="005A4794">
              <w:rPr>
                <w:i/>
                <w:spacing w:val="1"/>
              </w:rPr>
              <w:t xml:space="preserve"> </w:t>
            </w:r>
            <w:r w:rsidRPr="005A4794">
              <w:rPr>
                <w:i/>
              </w:rPr>
              <w:t>identified students</w:t>
            </w:r>
            <w:r w:rsidRPr="005A4794">
              <w:rPr>
                <w:i/>
                <w:spacing w:val="-47"/>
              </w:rPr>
              <w:t xml:space="preserve"> </w:t>
            </w:r>
            <w:r w:rsidRPr="005A4794">
              <w:rPr>
                <w:i/>
              </w:rPr>
              <w:t>have improved</w:t>
            </w:r>
            <w:r w:rsidRPr="005A4794">
              <w:rPr>
                <w:i/>
                <w:spacing w:val="1"/>
              </w:rPr>
              <w:t xml:space="preserve"> </w:t>
            </w:r>
            <w:r w:rsidRPr="005A4794">
              <w:rPr>
                <w:i/>
              </w:rPr>
              <w:t>reading scaled</w:t>
            </w:r>
            <w:r w:rsidRPr="005A4794">
              <w:rPr>
                <w:i/>
                <w:spacing w:val="1"/>
              </w:rPr>
              <w:t xml:space="preserve"> </w:t>
            </w:r>
            <w:r w:rsidRPr="005A4794">
              <w:rPr>
                <w:i/>
              </w:rPr>
              <w:t>scores to bring</w:t>
            </w:r>
            <w:r w:rsidRPr="005A4794">
              <w:rPr>
                <w:i/>
                <w:spacing w:val="1"/>
              </w:rPr>
              <w:t xml:space="preserve"> </w:t>
            </w:r>
            <w:r w:rsidRPr="005A4794">
              <w:rPr>
                <w:i/>
              </w:rPr>
              <w:t>them</w:t>
            </w:r>
            <w:r w:rsidRPr="005A4794">
              <w:rPr>
                <w:i/>
                <w:spacing w:val="-4"/>
              </w:rPr>
              <w:t xml:space="preserve"> </w:t>
            </w:r>
            <w:r w:rsidRPr="005A4794">
              <w:rPr>
                <w:i/>
              </w:rPr>
              <w:t>in</w:t>
            </w:r>
            <w:r w:rsidRPr="005A4794">
              <w:rPr>
                <w:i/>
                <w:spacing w:val="1"/>
              </w:rPr>
              <w:t xml:space="preserve"> </w:t>
            </w:r>
            <w:r w:rsidRPr="005A4794">
              <w:rPr>
                <w:i/>
              </w:rPr>
              <w:t>line</w:t>
            </w:r>
            <w:r w:rsidRPr="005A4794">
              <w:rPr>
                <w:i/>
                <w:spacing w:val="-3"/>
              </w:rPr>
              <w:t xml:space="preserve"> </w:t>
            </w:r>
            <w:r w:rsidRPr="005A4794">
              <w:rPr>
                <w:i/>
              </w:rPr>
              <w:t>with</w:t>
            </w:r>
          </w:p>
          <w:p w:rsidR="00F8636F" w:rsidRDefault="009103BD">
            <w:pPr>
              <w:pStyle w:val="TableParagraph"/>
              <w:spacing w:line="270" w:lineRule="atLeast"/>
              <w:ind w:right="154"/>
              <w:rPr>
                <w:b/>
                <w:i/>
              </w:rPr>
            </w:pPr>
            <w:r w:rsidRPr="005A4794">
              <w:rPr>
                <w:i/>
              </w:rPr>
              <w:t>their chronological</w:t>
            </w:r>
            <w:r w:rsidRPr="005A4794">
              <w:rPr>
                <w:i/>
                <w:spacing w:val="-48"/>
              </w:rPr>
              <w:t xml:space="preserve"> </w:t>
            </w:r>
            <w:r w:rsidRPr="005A4794">
              <w:rPr>
                <w:i/>
              </w:rPr>
              <w:t>age.</w:t>
            </w:r>
          </w:p>
        </w:tc>
        <w:tc>
          <w:tcPr>
            <w:tcW w:w="1630" w:type="dxa"/>
          </w:tcPr>
          <w:p w:rsidR="00F8636F" w:rsidRDefault="008273D0">
            <w:pPr>
              <w:pStyle w:val="TableParagraph"/>
              <w:ind w:left="108" w:right="373"/>
              <w:rPr>
                <w:b/>
                <w:i/>
              </w:rPr>
            </w:pPr>
            <w:r>
              <w:rPr>
                <w:b/>
                <w:i/>
              </w:rPr>
              <w:t>September 2020</w:t>
            </w:r>
          </w:p>
        </w:tc>
        <w:tc>
          <w:tcPr>
            <w:tcW w:w="992" w:type="dxa"/>
          </w:tcPr>
          <w:p w:rsidR="00F8636F" w:rsidRDefault="004671B9" w:rsidP="008273D0">
            <w:pPr>
              <w:pStyle w:val="TableParagraph"/>
              <w:spacing w:line="268" w:lineRule="exact"/>
              <w:ind w:left="108"/>
              <w:rPr>
                <w:b/>
                <w:i/>
              </w:rPr>
            </w:pPr>
            <w:r>
              <w:rPr>
                <w:b/>
                <w:i/>
              </w:rPr>
              <w:t>£</w:t>
            </w:r>
            <w:r w:rsidR="008273D0">
              <w:rPr>
                <w:b/>
                <w:i/>
              </w:rPr>
              <w:t>2500</w:t>
            </w:r>
          </w:p>
        </w:tc>
        <w:tc>
          <w:tcPr>
            <w:tcW w:w="4819" w:type="dxa"/>
          </w:tcPr>
          <w:p w:rsidR="00F8636F" w:rsidRDefault="008273D0">
            <w:pPr>
              <w:pStyle w:val="TableParagraph"/>
              <w:ind w:left="0"/>
              <w:rPr>
                <w:rFonts w:ascii="Times New Roman"/>
              </w:rPr>
            </w:pPr>
            <w:r>
              <w:rPr>
                <w:rFonts w:ascii="Times New Roman"/>
              </w:rPr>
              <w:t xml:space="preserve">Termly testing has continued from September 2020 until the academic year 2021-22. The assessments enable the school to ensure that support is targeted to those students in most need of catch up. </w:t>
            </w:r>
          </w:p>
          <w:p w:rsidR="00BD731B" w:rsidRDefault="00BD731B" w:rsidP="00BD731B">
            <w:pPr>
              <w:pStyle w:val="TableParagraph"/>
              <w:ind w:left="0"/>
              <w:rPr>
                <w:rFonts w:ascii="Times New Roman"/>
              </w:rPr>
            </w:pPr>
            <w:r>
              <w:rPr>
                <w:rFonts w:ascii="Times New Roman"/>
              </w:rPr>
              <w:t>Year 7 had improved from a SAS 99.74 to 100.84 in July, an increase of +1.15.</w:t>
            </w:r>
          </w:p>
          <w:p w:rsidR="00BD731B" w:rsidRDefault="00BD731B" w:rsidP="00BD731B">
            <w:pPr>
              <w:pStyle w:val="TableParagraph"/>
              <w:ind w:left="0"/>
              <w:rPr>
                <w:rFonts w:ascii="Times New Roman"/>
              </w:rPr>
            </w:pPr>
            <w:r>
              <w:rPr>
                <w:rFonts w:ascii="Times New Roman"/>
              </w:rPr>
              <w:t xml:space="preserve">In Year 8 and Year 9 there was no improvement in reading scores. In Year 10 reading improved from 106.01 to 107.1, an increase of +1. </w:t>
            </w:r>
          </w:p>
          <w:p w:rsidR="00BD731B" w:rsidRDefault="00BD731B">
            <w:pPr>
              <w:pStyle w:val="TableParagraph"/>
              <w:ind w:left="0"/>
              <w:rPr>
                <w:rFonts w:ascii="Times New Roman"/>
              </w:rPr>
            </w:pPr>
          </w:p>
        </w:tc>
      </w:tr>
      <w:tr w:rsidR="004671B9" w:rsidTr="005A4794">
        <w:trPr>
          <w:trHeight w:val="2419"/>
        </w:trPr>
        <w:tc>
          <w:tcPr>
            <w:tcW w:w="1546" w:type="dxa"/>
          </w:tcPr>
          <w:p w:rsidR="004671B9" w:rsidRDefault="00455604">
            <w:pPr>
              <w:pStyle w:val="TableParagraph"/>
              <w:ind w:right="487"/>
              <w:rPr>
                <w:b/>
                <w:i/>
              </w:rPr>
            </w:pPr>
            <w:r>
              <w:rPr>
                <w:b/>
                <w:i/>
              </w:rPr>
              <w:lastRenderedPageBreak/>
              <w:t>Targeted Academic Support</w:t>
            </w:r>
          </w:p>
        </w:tc>
        <w:tc>
          <w:tcPr>
            <w:tcW w:w="3634" w:type="dxa"/>
          </w:tcPr>
          <w:p w:rsidR="004671B9" w:rsidRDefault="004671B9" w:rsidP="00E17DBD">
            <w:pPr>
              <w:pStyle w:val="TableParagraph"/>
              <w:ind w:right="205"/>
              <w:rPr>
                <w:b/>
                <w:i/>
              </w:rPr>
            </w:pPr>
            <w:r>
              <w:rPr>
                <w:b/>
                <w:i/>
              </w:rPr>
              <w:t xml:space="preserve">Students in Year 7-8 complete termly GL Progress Test Maths. </w:t>
            </w:r>
          </w:p>
        </w:tc>
        <w:tc>
          <w:tcPr>
            <w:tcW w:w="2006" w:type="dxa"/>
          </w:tcPr>
          <w:p w:rsidR="008273D0" w:rsidRPr="005A4794" w:rsidRDefault="008273D0" w:rsidP="008273D0">
            <w:pPr>
              <w:pStyle w:val="TableParagraph"/>
              <w:ind w:right="164"/>
              <w:rPr>
                <w:i/>
              </w:rPr>
            </w:pPr>
            <w:r w:rsidRPr="005A4794">
              <w:rPr>
                <w:i/>
              </w:rPr>
              <w:t>GL Assessment</w:t>
            </w:r>
            <w:r w:rsidRPr="005A4794">
              <w:rPr>
                <w:i/>
                <w:spacing w:val="1"/>
              </w:rPr>
              <w:t xml:space="preserve"> </w:t>
            </w:r>
            <w:r w:rsidRPr="005A4794">
              <w:rPr>
                <w:i/>
              </w:rPr>
              <w:t>shows that</w:t>
            </w:r>
            <w:r w:rsidRPr="005A4794">
              <w:rPr>
                <w:i/>
                <w:spacing w:val="1"/>
              </w:rPr>
              <w:t xml:space="preserve"> </w:t>
            </w:r>
            <w:r w:rsidRPr="005A4794">
              <w:rPr>
                <w:i/>
              </w:rPr>
              <w:t>identified students</w:t>
            </w:r>
            <w:r w:rsidRPr="005A4794">
              <w:rPr>
                <w:i/>
                <w:spacing w:val="-47"/>
              </w:rPr>
              <w:t xml:space="preserve"> </w:t>
            </w:r>
            <w:r w:rsidRPr="005A4794">
              <w:rPr>
                <w:i/>
              </w:rPr>
              <w:t>have improved</w:t>
            </w:r>
            <w:r w:rsidRPr="005A4794">
              <w:rPr>
                <w:i/>
                <w:spacing w:val="1"/>
              </w:rPr>
              <w:t xml:space="preserve"> </w:t>
            </w:r>
            <w:r>
              <w:rPr>
                <w:i/>
              </w:rPr>
              <w:t xml:space="preserve">maths </w:t>
            </w:r>
            <w:r w:rsidR="00BD731B">
              <w:rPr>
                <w:i/>
              </w:rPr>
              <w:t xml:space="preserve">SAS </w:t>
            </w:r>
            <w:r w:rsidR="00BD731B" w:rsidRPr="005A4794">
              <w:rPr>
                <w:i/>
              </w:rPr>
              <w:t>to</w:t>
            </w:r>
            <w:r w:rsidRPr="005A4794">
              <w:rPr>
                <w:i/>
              </w:rPr>
              <w:t xml:space="preserve"> bring</w:t>
            </w:r>
            <w:r w:rsidRPr="005A4794">
              <w:rPr>
                <w:i/>
                <w:spacing w:val="1"/>
              </w:rPr>
              <w:t xml:space="preserve"> </w:t>
            </w:r>
            <w:r w:rsidRPr="005A4794">
              <w:rPr>
                <w:i/>
              </w:rPr>
              <w:t>them</w:t>
            </w:r>
            <w:r w:rsidRPr="005A4794">
              <w:rPr>
                <w:i/>
                <w:spacing w:val="-4"/>
              </w:rPr>
              <w:t xml:space="preserve"> </w:t>
            </w:r>
            <w:r w:rsidRPr="005A4794">
              <w:rPr>
                <w:i/>
              </w:rPr>
              <w:t>in</w:t>
            </w:r>
            <w:r w:rsidRPr="005A4794">
              <w:rPr>
                <w:i/>
                <w:spacing w:val="1"/>
              </w:rPr>
              <w:t xml:space="preserve"> </w:t>
            </w:r>
            <w:r w:rsidRPr="005A4794">
              <w:rPr>
                <w:i/>
              </w:rPr>
              <w:t>line</w:t>
            </w:r>
            <w:r w:rsidRPr="005A4794">
              <w:rPr>
                <w:i/>
                <w:spacing w:val="-3"/>
              </w:rPr>
              <w:t xml:space="preserve"> </w:t>
            </w:r>
            <w:r w:rsidRPr="005A4794">
              <w:rPr>
                <w:i/>
              </w:rPr>
              <w:t>with</w:t>
            </w:r>
          </w:p>
          <w:p w:rsidR="004671B9" w:rsidRPr="005A4794" w:rsidRDefault="008273D0" w:rsidP="008273D0">
            <w:pPr>
              <w:pStyle w:val="TableParagraph"/>
              <w:ind w:right="164"/>
              <w:rPr>
                <w:i/>
              </w:rPr>
            </w:pPr>
            <w:r w:rsidRPr="005A4794">
              <w:rPr>
                <w:i/>
              </w:rPr>
              <w:t>their chronological</w:t>
            </w:r>
            <w:r w:rsidRPr="005A4794">
              <w:rPr>
                <w:i/>
                <w:spacing w:val="-48"/>
              </w:rPr>
              <w:t xml:space="preserve"> </w:t>
            </w:r>
            <w:r w:rsidRPr="005A4794">
              <w:rPr>
                <w:i/>
              </w:rPr>
              <w:t>age.</w:t>
            </w:r>
          </w:p>
        </w:tc>
        <w:tc>
          <w:tcPr>
            <w:tcW w:w="1630" w:type="dxa"/>
          </w:tcPr>
          <w:p w:rsidR="004671B9" w:rsidRDefault="008273D0">
            <w:pPr>
              <w:pStyle w:val="TableParagraph"/>
              <w:ind w:left="108" w:right="373"/>
              <w:rPr>
                <w:b/>
                <w:i/>
              </w:rPr>
            </w:pPr>
            <w:r>
              <w:rPr>
                <w:b/>
                <w:i/>
              </w:rPr>
              <w:t>September 2020</w:t>
            </w:r>
          </w:p>
        </w:tc>
        <w:tc>
          <w:tcPr>
            <w:tcW w:w="992" w:type="dxa"/>
          </w:tcPr>
          <w:p w:rsidR="004671B9" w:rsidRDefault="008273D0" w:rsidP="00E17DBD">
            <w:pPr>
              <w:pStyle w:val="TableParagraph"/>
              <w:spacing w:line="268" w:lineRule="exact"/>
              <w:ind w:left="108"/>
              <w:rPr>
                <w:b/>
                <w:i/>
              </w:rPr>
            </w:pPr>
            <w:r>
              <w:rPr>
                <w:b/>
                <w:i/>
              </w:rPr>
              <w:t>£1500</w:t>
            </w:r>
          </w:p>
        </w:tc>
        <w:tc>
          <w:tcPr>
            <w:tcW w:w="4819" w:type="dxa"/>
          </w:tcPr>
          <w:p w:rsidR="004671B9" w:rsidRDefault="008273D0">
            <w:pPr>
              <w:pStyle w:val="TableParagraph"/>
              <w:ind w:left="0"/>
              <w:rPr>
                <w:rFonts w:ascii="Times New Roman"/>
              </w:rPr>
            </w:pPr>
            <w:r>
              <w:rPr>
                <w:rFonts w:ascii="Times New Roman"/>
              </w:rPr>
              <w:t>Termly testing has continued from September 2020 until the academic year 2021-22. The assessments enable the school to ensure that support is targeted to those students in most need of catch up.</w:t>
            </w:r>
          </w:p>
          <w:p w:rsidR="00BD731B" w:rsidRDefault="00BD731B" w:rsidP="00BD731B">
            <w:pPr>
              <w:pStyle w:val="TableParagraph"/>
              <w:ind w:left="0"/>
              <w:rPr>
                <w:rFonts w:ascii="Times New Roman"/>
              </w:rPr>
            </w:pPr>
            <w:r>
              <w:rPr>
                <w:rFonts w:ascii="Times New Roman"/>
              </w:rPr>
              <w:t xml:space="preserve">In Mathematics students improved by + 6.56 in Year 7 and +6.18 in Year 8. </w:t>
            </w:r>
          </w:p>
          <w:p w:rsidR="00455604" w:rsidRDefault="00455604" w:rsidP="00BD731B">
            <w:pPr>
              <w:pStyle w:val="TableParagraph"/>
              <w:ind w:left="0"/>
              <w:rPr>
                <w:rFonts w:ascii="Times New Roman"/>
              </w:rPr>
            </w:pPr>
            <w:r>
              <w:rPr>
                <w:rFonts w:ascii="Times New Roman"/>
              </w:rPr>
              <w:t>Impact of Autumn term targeted support will be available in January.</w:t>
            </w:r>
          </w:p>
          <w:p w:rsidR="00BD731B" w:rsidRDefault="00BD731B">
            <w:pPr>
              <w:pStyle w:val="TableParagraph"/>
              <w:ind w:left="0"/>
              <w:rPr>
                <w:rFonts w:ascii="Times New Roman"/>
              </w:rPr>
            </w:pPr>
          </w:p>
        </w:tc>
      </w:tr>
    </w:tbl>
    <w:p w:rsidR="00F8636F" w:rsidRDefault="00F8636F">
      <w:pPr>
        <w:rPr>
          <w:rFonts w:ascii="Times New Roman"/>
        </w:rPr>
        <w:sectPr w:rsidR="00F8636F">
          <w:type w:val="continuous"/>
          <w:pgSz w:w="16840" w:h="11910" w:orient="landscape"/>
          <w:pgMar w:top="560" w:right="1320" w:bottom="280" w:left="1340" w:header="720" w:footer="720" w:gutter="0"/>
          <w:cols w:space="720"/>
        </w:sectPr>
      </w:pPr>
    </w:p>
    <w:tbl>
      <w:tblPr>
        <w:tblW w:w="1462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6"/>
        <w:gridCol w:w="3634"/>
        <w:gridCol w:w="2006"/>
        <w:gridCol w:w="1630"/>
        <w:gridCol w:w="992"/>
        <w:gridCol w:w="4819"/>
      </w:tblGrid>
      <w:tr w:rsidR="00F8636F" w:rsidTr="005A4794">
        <w:trPr>
          <w:trHeight w:val="1879"/>
        </w:trPr>
        <w:tc>
          <w:tcPr>
            <w:tcW w:w="1546" w:type="dxa"/>
          </w:tcPr>
          <w:p w:rsidR="00F8636F" w:rsidRDefault="009103BD">
            <w:pPr>
              <w:pStyle w:val="TableParagraph"/>
              <w:ind w:right="487"/>
              <w:rPr>
                <w:b/>
                <w:i/>
              </w:rPr>
            </w:pPr>
            <w:r>
              <w:rPr>
                <w:b/>
                <w:i/>
              </w:rPr>
              <w:lastRenderedPageBreak/>
              <w:t>Wider</w:t>
            </w:r>
            <w:r>
              <w:rPr>
                <w:b/>
                <w:i/>
                <w:spacing w:val="1"/>
              </w:rPr>
              <w:t xml:space="preserve"> </w:t>
            </w:r>
            <w:r>
              <w:rPr>
                <w:b/>
                <w:i/>
              </w:rPr>
              <w:t>Strategies</w:t>
            </w:r>
          </w:p>
        </w:tc>
        <w:tc>
          <w:tcPr>
            <w:tcW w:w="3634" w:type="dxa"/>
          </w:tcPr>
          <w:p w:rsidR="00F8636F" w:rsidRDefault="009103BD">
            <w:pPr>
              <w:pStyle w:val="TableParagraph"/>
              <w:ind w:right="149"/>
              <w:rPr>
                <w:b/>
                <w:i/>
              </w:rPr>
            </w:pPr>
            <w:r>
              <w:rPr>
                <w:b/>
                <w:i/>
              </w:rPr>
              <w:t>Provide laptop and wireless</w:t>
            </w:r>
            <w:r>
              <w:rPr>
                <w:b/>
                <w:i/>
                <w:spacing w:val="1"/>
              </w:rPr>
              <w:t xml:space="preserve"> </w:t>
            </w:r>
            <w:r>
              <w:rPr>
                <w:b/>
                <w:i/>
              </w:rPr>
              <w:t>connection devices for all students,</w:t>
            </w:r>
            <w:r>
              <w:rPr>
                <w:b/>
                <w:i/>
                <w:spacing w:val="1"/>
              </w:rPr>
              <w:t xml:space="preserve"> </w:t>
            </w:r>
            <w:r>
              <w:rPr>
                <w:b/>
                <w:i/>
              </w:rPr>
              <w:t>particularly, disadvantaged students</w:t>
            </w:r>
            <w:r>
              <w:rPr>
                <w:b/>
                <w:i/>
                <w:spacing w:val="-47"/>
              </w:rPr>
              <w:t xml:space="preserve"> </w:t>
            </w:r>
            <w:r>
              <w:rPr>
                <w:b/>
                <w:i/>
              </w:rPr>
              <w:t>and those identified as vulnerable.</w:t>
            </w:r>
            <w:r>
              <w:rPr>
                <w:b/>
                <w:i/>
                <w:spacing w:val="1"/>
              </w:rPr>
              <w:t xml:space="preserve"> </w:t>
            </w:r>
            <w:r w:rsidR="00BD731B">
              <w:rPr>
                <w:b/>
                <w:i/>
              </w:rPr>
              <w:t xml:space="preserve"> 5 </w:t>
            </w:r>
            <w:r>
              <w:rPr>
                <w:b/>
                <w:i/>
              </w:rPr>
              <w:t>students identified across all</w:t>
            </w:r>
            <w:r>
              <w:rPr>
                <w:b/>
                <w:i/>
                <w:spacing w:val="1"/>
              </w:rPr>
              <w:t xml:space="preserve"> </w:t>
            </w:r>
            <w:r>
              <w:rPr>
                <w:b/>
                <w:i/>
              </w:rPr>
              <w:t>year</w:t>
            </w:r>
            <w:r>
              <w:rPr>
                <w:b/>
                <w:i/>
                <w:spacing w:val="-2"/>
              </w:rPr>
              <w:t xml:space="preserve"> </w:t>
            </w:r>
            <w:r>
              <w:rPr>
                <w:b/>
                <w:i/>
              </w:rPr>
              <w:t>groups</w:t>
            </w:r>
            <w:r>
              <w:rPr>
                <w:b/>
                <w:i/>
                <w:spacing w:val="-4"/>
              </w:rPr>
              <w:t xml:space="preserve"> </w:t>
            </w:r>
            <w:r>
              <w:rPr>
                <w:b/>
                <w:i/>
              </w:rPr>
              <w:t>with</w:t>
            </w:r>
            <w:r>
              <w:rPr>
                <w:b/>
                <w:i/>
                <w:spacing w:val="-1"/>
              </w:rPr>
              <w:t xml:space="preserve"> </w:t>
            </w:r>
            <w:r>
              <w:rPr>
                <w:b/>
                <w:i/>
              </w:rPr>
              <w:t>lack</w:t>
            </w:r>
            <w:r>
              <w:rPr>
                <w:b/>
                <w:i/>
                <w:spacing w:val="-3"/>
              </w:rPr>
              <w:t xml:space="preserve"> </w:t>
            </w:r>
            <w:r>
              <w:rPr>
                <w:b/>
                <w:i/>
              </w:rPr>
              <w:t>of</w:t>
            </w:r>
            <w:r>
              <w:rPr>
                <w:b/>
                <w:i/>
                <w:spacing w:val="-1"/>
              </w:rPr>
              <w:t xml:space="preserve"> </w:t>
            </w:r>
            <w:r>
              <w:rPr>
                <w:b/>
                <w:i/>
              </w:rPr>
              <w:t>adequate</w:t>
            </w:r>
          </w:p>
          <w:p w:rsidR="00F8636F" w:rsidRDefault="009103BD">
            <w:pPr>
              <w:pStyle w:val="TableParagraph"/>
              <w:spacing w:line="249" w:lineRule="exact"/>
              <w:rPr>
                <w:b/>
                <w:i/>
              </w:rPr>
            </w:pPr>
            <w:r>
              <w:rPr>
                <w:b/>
                <w:i/>
              </w:rPr>
              <w:t>equipment</w:t>
            </w:r>
            <w:r>
              <w:rPr>
                <w:b/>
                <w:i/>
                <w:spacing w:val="-4"/>
              </w:rPr>
              <w:t xml:space="preserve"> </w:t>
            </w:r>
            <w:r>
              <w:rPr>
                <w:b/>
                <w:i/>
              </w:rPr>
              <w:t>or</w:t>
            </w:r>
            <w:r>
              <w:rPr>
                <w:b/>
                <w:i/>
                <w:spacing w:val="-4"/>
              </w:rPr>
              <w:t xml:space="preserve"> </w:t>
            </w:r>
            <w:r>
              <w:rPr>
                <w:b/>
                <w:i/>
              </w:rPr>
              <w:t>connectivity</w:t>
            </w:r>
            <w:r>
              <w:rPr>
                <w:b/>
                <w:i/>
                <w:spacing w:val="-5"/>
              </w:rPr>
              <w:t xml:space="preserve"> </w:t>
            </w:r>
            <w:r>
              <w:rPr>
                <w:b/>
                <w:i/>
              </w:rPr>
              <w:t>issues</w:t>
            </w:r>
          </w:p>
        </w:tc>
        <w:tc>
          <w:tcPr>
            <w:tcW w:w="2006" w:type="dxa"/>
          </w:tcPr>
          <w:p w:rsidR="00F8636F" w:rsidRDefault="009103BD" w:rsidP="005A4794">
            <w:pPr>
              <w:pStyle w:val="TableParagraph"/>
              <w:ind w:right="302"/>
              <w:rPr>
                <w:b/>
                <w:i/>
              </w:rPr>
            </w:pPr>
            <w:r>
              <w:rPr>
                <w:b/>
                <w:i/>
              </w:rPr>
              <w:t>All students have</w:t>
            </w:r>
            <w:r>
              <w:rPr>
                <w:b/>
                <w:i/>
                <w:spacing w:val="-47"/>
              </w:rPr>
              <w:t xml:space="preserve"> </w:t>
            </w:r>
            <w:r>
              <w:rPr>
                <w:b/>
                <w:i/>
              </w:rPr>
              <w:t>the necessary</w:t>
            </w:r>
            <w:r>
              <w:rPr>
                <w:b/>
                <w:i/>
                <w:spacing w:val="1"/>
              </w:rPr>
              <w:t xml:space="preserve"> </w:t>
            </w:r>
            <w:r>
              <w:rPr>
                <w:b/>
                <w:i/>
              </w:rPr>
              <w:t>equipment to</w:t>
            </w:r>
            <w:r>
              <w:rPr>
                <w:b/>
                <w:i/>
                <w:spacing w:val="1"/>
              </w:rPr>
              <w:t xml:space="preserve"> </w:t>
            </w:r>
            <w:r>
              <w:rPr>
                <w:b/>
                <w:i/>
              </w:rPr>
              <w:t>access learning</w:t>
            </w:r>
            <w:r>
              <w:rPr>
                <w:b/>
                <w:i/>
                <w:spacing w:val="1"/>
              </w:rPr>
              <w:t xml:space="preserve"> </w:t>
            </w:r>
            <w:r>
              <w:rPr>
                <w:b/>
                <w:i/>
              </w:rPr>
              <w:t>opportunities.</w:t>
            </w:r>
          </w:p>
        </w:tc>
        <w:tc>
          <w:tcPr>
            <w:tcW w:w="1630" w:type="dxa"/>
          </w:tcPr>
          <w:p w:rsidR="00F8636F" w:rsidRDefault="005A4794">
            <w:pPr>
              <w:pStyle w:val="TableParagraph"/>
              <w:ind w:left="108" w:right="373"/>
              <w:rPr>
                <w:b/>
                <w:i/>
              </w:rPr>
            </w:pPr>
            <w:r>
              <w:rPr>
                <w:b/>
                <w:i/>
              </w:rPr>
              <w:t>Dec 21</w:t>
            </w:r>
          </w:p>
        </w:tc>
        <w:tc>
          <w:tcPr>
            <w:tcW w:w="992" w:type="dxa"/>
          </w:tcPr>
          <w:p w:rsidR="00F8636F" w:rsidRDefault="008273D0">
            <w:pPr>
              <w:pStyle w:val="TableParagraph"/>
              <w:spacing w:line="268" w:lineRule="exact"/>
              <w:ind w:left="108"/>
              <w:rPr>
                <w:b/>
                <w:i/>
              </w:rPr>
            </w:pPr>
            <w:r>
              <w:rPr>
                <w:b/>
                <w:i/>
              </w:rPr>
              <w:t>£1000</w:t>
            </w:r>
          </w:p>
        </w:tc>
        <w:tc>
          <w:tcPr>
            <w:tcW w:w="4819" w:type="dxa"/>
          </w:tcPr>
          <w:p w:rsidR="00F8636F" w:rsidRDefault="00BD731B">
            <w:pPr>
              <w:pStyle w:val="TableParagraph"/>
              <w:ind w:left="0"/>
              <w:rPr>
                <w:rFonts w:ascii="Times New Roman"/>
              </w:rPr>
            </w:pPr>
            <w:r>
              <w:rPr>
                <w:rFonts w:ascii="Times New Roman"/>
              </w:rPr>
              <w:t xml:space="preserve"> Laptops acquired through the DFE, ensured that all students could access online learning from during the January </w:t>
            </w:r>
            <w:r>
              <w:rPr>
                <w:rFonts w:ascii="Times New Roman"/>
              </w:rPr>
              <w:t>–</w:t>
            </w:r>
            <w:r>
              <w:rPr>
                <w:rFonts w:ascii="Times New Roman"/>
              </w:rPr>
              <w:t xml:space="preserve"> March period of school closure. </w:t>
            </w:r>
            <w:r w:rsidR="00455604">
              <w:rPr>
                <w:rFonts w:ascii="Times New Roman"/>
              </w:rPr>
              <w:t xml:space="preserve">In addition to these laptops the school ensured that laptops were available to others to enable access. Survey completed Dec 2021 to review access at home with further investment planned. </w:t>
            </w:r>
          </w:p>
        </w:tc>
      </w:tr>
    </w:tbl>
    <w:p w:rsidR="00F8636F" w:rsidRDefault="00F8636F">
      <w:pPr>
        <w:rPr>
          <w:b/>
          <w:sz w:val="20"/>
        </w:rPr>
      </w:pPr>
    </w:p>
    <w:p w:rsidR="00F8636F" w:rsidRDefault="00F8636F">
      <w:pPr>
        <w:rPr>
          <w:b/>
          <w:sz w:val="20"/>
        </w:rPr>
      </w:pPr>
    </w:p>
    <w:tbl>
      <w:tblPr>
        <w:tblStyle w:val="TableGrid"/>
        <w:tblW w:w="14600" w:type="dxa"/>
        <w:tblInd w:w="137" w:type="dxa"/>
        <w:tblLook w:val="04A0" w:firstRow="1" w:lastRow="0" w:firstColumn="1" w:lastColumn="0" w:noHBand="0" w:noVBand="1"/>
      </w:tblPr>
      <w:tblGrid>
        <w:gridCol w:w="14600"/>
      </w:tblGrid>
      <w:tr w:rsidR="005A4794" w:rsidTr="001419C2">
        <w:tc>
          <w:tcPr>
            <w:tcW w:w="14600" w:type="dxa"/>
            <w:shd w:val="clear" w:color="auto" w:fill="1F497D" w:themeFill="text2"/>
          </w:tcPr>
          <w:p w:rsidR="005A4794" w:rsidRDefault="005A4794" w:rsidP="008273D0">
            <w:pPr>
              <w:rPr>
                <w:b/>
                <w:sz w:val="20"/>
              </w:rPr>
            </w:pPr>
            <w:r w:rsidRPr="001419C2">
              <w:rPr>
                <w:b/>
                <w:color w:val="FFFFFF" w:themeColor="background1"/>
                <w:sz w:val="32"/>
              </w:rPr>
              <w:t>Total Spend                                                                                                                     £</w:t>
            </w:r>
            <w:r w:rsidR="008273D0" w:rsidRPr="001419C2">
              <w:rPr>
                <w:b/>
                <w:color w:val="FFFFFF" w:themeColor="background1"/>
                <w:sz w:val="32"/>
              </w:rPr>
              <w:t>18,200.00</w:t>
            </w:r>
          </w:p>
        </w:tc>
      </w:tr>
    </w:tbl>
    <w:p w:rsidR="00F8636F" w:rsidRDefault="00F8636F">
      <w:pPr>
        <w:rPr>
          <w:b/>
          <w:sz w:val="20"/>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4062"/>
      </w:tblGrid>
      <w:tr w:rsidR="001419C2" w:rsidRPr="00133219" w:rsidTr="001419C2">
        <w:trPr>
          <w:cantSplit/>
          <w:tblHeader/>
        </w:trPr>
        <w:tc>
          <w:tcPr>
            <w:tcW w:w="14879" w:type="dxa"/>
            <w:tcBorders>
              <w:top w:val="single" w:sz="4" w:space="0" w:color="12263F"/>
              <w:left w:val="single" w:sz="4" w:space="0" w:color="12263F"/>
              <w:bottom w:val="single" w:sz="4" w:space="0" w:color="12263F"/>
              <w:right w:val="single" w:sz="4" w:space="0" w:color="12263F"/>
              <w:tl2br w:val="nil"/>
              <w:tr2bl w:val="nil"/>
            </w:tcBorders>
            <w:shd w:val="clear" w:color="auto" w:fill="1F497D" w:themeFill="text2"/>
            <w:tcMar>
              <w:top w:w="113" w:type="dxa"/>
              <w:bottom w:w="113" w:type="dxa"/>
            </w:tcMar>
          </w:tcPr>
          <w:p w:rsidR="001419C2" w:rsidRPr="001419C2" w:rsidRDefault="001419C2" w:rsidP="001400EF">
            <w:pPr>
              <w:pStyle w:val="1bodycopy"/>
              <w:spacing w:after="0"/>
              <w:rPr>
                <w:rFonts w:asciiTheme="minorHAnsi" w:hAnsiTheme="minorHAnsi" w:cstheme="minorHAnsi"/>
                <w:b/>
                <w:caps/>
                <w:color w:val="F8F8F8"/>
              </w:rPr>
            </w:pPr>
            <w:r w:rsidRPr="001419C2">
              <w:rPr>
                <w:rFonts w:asciiTheme="minorHAnsi" w:hAnsiTheme="minorHAnsi" w:cstheme="minorHAnsi"/>
                <w:b/>
                <w:caps/>
                <w:color w:val="F8F8F8"/>
                <w:sz w:val="28"/>
              </w:rPr>
              <w:lastRenderedPageBreak/>
              <w:t>additional information</w:t>
            </w:r>
          </w:p>
        </w:tc>
      </w:tr>
      <w:tr w:rsidR="001419C2" w:rsidRPr="00A9708F" w:rsidTr="001400EF">
        <w:trPr>
          <w:cantSplit/>
        </w:trPr>
        <w:tc>
          <w:tcPr>
            <w:tcW w:w="14879" w:type="dxa"/>
            <w:shd w:val="clear" w:color="auto" w:fill="auto"/>
            <w:tcMar>
              <w:top w:w="113" w:type="dxa"/>
              <w:bottom w:w="113" w:type="dxa"/>
            </w:tcMar>
          </w:tcPr>
          <w:p w:rsidR="001419C2" w:rsidRDefault="001419C2" w:rsidP="001419C2">
            <w:pPr>
              <w:pStyle w:val="BodyText"/>
              <w:spacing w:before="180"/>
              <w:ind w:left="143"/>
            </w:pPr>
            <w:r>
              <w:t>We</w:t>
            </w:r>
            <w:r>
              <w:rPr>
                <w:spacing w:val="-2"/>
              </w:rPr>
              <w:t xml:space="preserve"> </w:t>
            </w:r>
            <w:r>
              <w:t>have based</w:t>
            </w:r>
            <w:r>
              <w:rPr>
                <w:spacing w:val="-4"/>
              </w:rPr>
              <w:t xml:space="preserve"> </w:t>
            </w:r>
            <w:r>
              <w:t>our</w:t>
            </w:r>
            <w:r>
              <w:rPr>
                <w:spacing w:val="-1"/>
              </w:rPr>
              <w:t xml:space="preserve"> </w:t>
            </w:r>
            <w:r>
              <w:t>decisions</w:t>
            </w:r>
            <w:r>
              <w:rPr>
                <w:spacing w:val="-1"/>
              </w:rPr>
              <w:t xml:space="preserve"> </w:t>
            </w:r>
            <w:r>
              <w:t>on</w:t>
            </w:r>
            <w:r>
              <w:rPr>
                <w:spacing w:val="-3"/>
              </w:rPr>
              <w:t xml:space="preserve"> </w:t>
            </w:r>
            <w:r>
              <w:t>where</w:t>
            </w:r>
            <w:r>
              <w:rPr>
                <w:spacing w:val="-2"/>
              </w:rPr>
              <w:t xml:space="preserve"> </w:t>
            </w:r>
            <w:r>
              <w:t>to</w:t>
            </w:r>
            <w:r>
              <w:rPr>
                <w:spacing w:val="-2"/>
              </w:rPr>
              <w:t xml:space="preserve"> </w:t>
            </w:r>
            <w:r>
              <w:t>direct</w:t>
            </w:r>
            <w:r>
              <w:rPr>
                <w:spacing w:val="-3"/>
              </w:rPr>
              <w:t xml:space="preserve"> </w:t>
            </w:r>
            <w:r>
              <w:t>the</w:t>
            </w:r>
            <w:r>
              <w:rPr>
                <w:spacing w:val="-4"/>
              </w:rPr>
              <w:t xml:space="preserve"> </w:t>
            </w:r>
            <w:r>
              <w:t>C</w:t>
            </w:r>
            <w:r w:rsidR="00455604">
              <w:t>atch up</w:t>
            </w:r>
            <w:r>
              <w:rPr>
                <w:spacing w:val="-4"/>
              </w:rPr>
              <w:t xml:space="preserve"> </w:t>
            </w:r>
            <w:r>
              <w:t>Premium funding on</w:t>
            </w:r>
            <w:r>
              <w:rPr>
                <w:spacing w:val="-4"/>
              </w:rPr>
              <w:t xml:space="preserve"> </w:t>
            </w:r>
            <w:r>
              <w:t>the following</w:t>
            </w:r>
            <w:r>
              <w:rPr>
                <w:spacing w:val="-4"/>
              </w:rPr>
              <w:t xml:space="preserve"> </w:t>
            </w:r>
            <w:r>
              <w:t>key</w:t>
            </w:r>
            <w:r>
              <w:rPr>
                <w:spacing w:val="-2"/>
              </w:rPr>
              <w:t xml:space="preserve"> </w:t>
            </w:r>
            <w:r>
              <w:t>findings.</w:t>
            </w:r>
          </w:p>
          <w:p w:rsidR="001419C2" w:rsidRDefault="001419C2" w:rsidP="001419C2">
            <w:pPr>
              <w:pStyle w:val="BodyText"/>
              <w:numPr>
                <w:ilvl w:val="0"/>
                <w:numId w:val="1"/>
              </w:numPr>
              <w:tabs>
                <w:tab w:val="left" w:pos="865"/>
              </w:tabs>
              <w:spacing w:before="183" w:line="256" w:lineRule="auto"/>
              <w:ind w:right="308"/>
            </w:pPr>
            <w:r>
              <w:t xml:space="preserve">The National Group Spelling benchmarked tests have identified a whole school issue with spelling with each year group average being below 100 standardised score. </w:t>
            </w:r>
          </w:p>
          <w:p w:rsidR="001419C2" w:rsidRDefault="001419C2" w:rsidP="001419C2">
            <w:pPr>
              <w:pStyle w:val="BodyText"/>
              <w:numPr>
                <w:ilvl w:val="0"/>
                <w:numId w:val="1"/>
              </w:numPr>
              <w:tabs>
                <w:tab w:val="left" w:pos="865"/>
              </w:tabs>
              <w:spacing w:before="4" w:line="259" w:lineRule="auto"/>
              <w:ind w:right="542"/>
            </w:pPr>
            <w:r>
              <w:t>Students at the Settlebeck respond well to teaching support in small groups, historically this has been offered to small cohorts, the funding</w:t>
            </w:r>
            <w:r>
              <w:rPr>
                <w:spacing w:val="-47"/>
              </w:rPr>
              <w:t xml:space="preserve"> </w:t>
            </w:r>
            <w:r>
              <w:t>gives us the opportunity to deliver to a wider coho</w:t>
            </w:r>
            <w:r w:rsidR="00455604">
              <w:t>rt. This will enable gaps to be narrowed</w:t>
            </w:r>
            <w:r>
              <w:t xml:space="preserve"> and free classroom time to work on stretch and challenge,</w:t>
            </w:r>
            <w:r>
              <w:rPr>
                <w:spacing w:val="1"/>
              </w:rPr>
              <w:t xml:space="preserve"> </w:t>
            </w:r>
            <w:r>
              <w:t>improving</w:t>
            </w:r>
            <w:r>
              <w:rPr>
                <w:spacing w:val="-1"/>
              </w:rPr>
              <w:t xml:space="preserve"> </w:t>
            </w:r>
            <w:r>
              <w:t>the</w:t>
            </w:r>
            <w:r>
              <w:rPr>
                <w:spacing w:val="-2"/>
              </w:rPr>
              <w:t xml:space="preserve"> </w:t>
            </w:r>
            <w:r>
              <w:t>ambition</w:t>
            </w:r>
            <w:r>
              <w:rPr>
                <w:spacing w:val="-3"/>
              </w:rPr>
              <w:t xml:space="preserve"> </w:t>
            </w:r>
            <w:r>
              <w:t>of</w:t>
            </w:r>
            <w:r>
              <w:rPr>
                <w:spacing w:val="-2"/>
              </w:rPr>
              <w:t xml:space="preserve"> </w:t>
            </w:r>
            <w:r>
              <w:t xml:space="preserve">our youngsters. We have chosen to use a known tutor rather than the National Tutoring Programme as our students respond more effectively to teachers they know. </w:t>
            </w:r>
          </w:p>
          <w:p w:rsidR="001419C2" w:rsidRDefault="001419C2" w:rsidP="001419C2">
            <w:pPr>
              <w:pStyle w:val="BodyText"/>
              <w:numPr>
                <w:ilvl w:val="0"/>
                <w:numId w:val="1"/>
              </w:numPr>
              <w:tabs>
                <w:tab w:val="left" w:pos="865"/>
              </w:tabs>
              <w:spacing w:line="267" w:lineRule="exact"/>
              <w:ind w:hanging="361"/>
            </w:pPr>
            <w:r>
              <w:t>The</w:t>
            </w:r>
            <w:r>
              <w:rPr>
                <w:spacing w:val="-1"/>
              </w:rPr>
              <w:t xml:space="preserve"> </w:t>
            </w:r>
            <w:r>
              <w:t>difficulties</w:t>
            </w:r>
            <w:r>
              <w:rPr>
                <w:spacing w:val="-2"/>
              </w:rPr>
              <w:t xml:space="preserve"> </w:t>
            </w:r>
            <w:r>
              <w:t>with</w:t>
            </w:r>
            <w:r>
              <w:rPr>
                <w:spacing w:val="-3"/>
              </w:rPr>
              <w:t xml:space="preserve"> </w:t>
            </w:r>
            <w:r>
              <w:t>technology</w:t>
            </w:r>
            <w:r>
              <w:rPr>
                <w:spacing w:val="-1"/>
              </w:rPr>
              <w:t xml:space="preserve"> </w:t>
            </w:r>
            <w:r>
              <w:t xml:space="preserve">coverage remains for some of our students due to the whole return to school and the return of loaned devices. Ensuring our students have access will ensure we can continue to develop good home study habits. </w:t>
            </w:r>
          </w:p>
          <w:p w:rsidR="001419C2" w:rsidRDefault="001419C2" w:rsidP="001419C2">
            <w:pPr>
              <w:pStyle w:val="BodyText"/>
              <w:numPr>
                <w:ilvl w:val="0"/>
                <w:numId w:val="1"/>
              </w:numPr>
              <w:tabs>
                <w:tab w:val="left" w:pos="865"/>
              </w:tabs>
              <w:spacing w:line="267" w:lineRule="exact"/>
              <w:ind w:hanging="361"/>
            </w:pPr>
            <w:r>
              <w:t>Internal assessment and reporting</w:t>
            </w:r>
          </w:p>
          <w:p w:rsidR="001419C2" w:rsidRDefault="001419C2" w:rsidP="001419C2">
            <w:pPr>
              <w:pStyle w:val="BodyText"/>
              <w:numPr>
                <w:ilvl w:val="0"/>
                <w:numId w:val="1"/>
              </w:numPr>
              <w:tabs>
                <w:tab w:val="left" w:pos="865"/>
              </w:tabs>
              <w:spacing w:line="267" w:lineRule="exact"/>
              <w:ind w:hanging="361"/>
            </w:pPr>
            <w:r>
              <w:t>Guidance from experts</w:t>
            </w:r>
          </w:p>
          <w:p w:rsidR="001419C2" w:rsidRPr="00AA3115" w:rsidRDefault="001419C2" w:rsidP="001419C2">
            <w:pPr>
              <w:pStyle w:val="7Tablebodybulleted"/>
              <w:numPr>
                <w:ilvl w:val="0"/>
                <w:numId w:val="0"/>
              </w:numPr>
              <w:ind w:left="340" w:hanging="170"/>
              <w:rPr>
                <w:highlight w:val="yellow"/>
              </w:rPr>
            </w:pPr>
          </w:p>
        </w:tc>
      </w:tr>
    </w:tbl>
    <w:p w:rsidR="00F8636F" w:rsidRDefault="00F8636F">
      <w:pPr>
        <w:spacing w:before="10"/>
        <w:rPr>
          <w:b/>
          <w:sz w:val="16"/>
        </w:rPr>
      </w:pPr>
    </w:p>
    <w:sectPr w:rsidR="00F8636F">
      <w:type w:val="continuous"/>
      <w:pgSz w:w="16840" w:h="11910" w:orient="landscape"/>
      <w:pgMar w:top="56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9C2" w:rsidRDefault="001419C2" w:rsidP="001419C2">
      <w:r>
        <w:separator/>
      </w:r>
    </w:p>
  </w:endnote>
  <w:endnote w:type="continuationSeparator" w:id="0">
    <w:p w:rsidR="001419C2" w:rsidRDefault="001419C2" w:rsidP="0014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802807"/>
      <w:docPartObj>
        <w:docPartGallery w:val="Page Numbers (Bottom of Page)"/>
        <w:docPartUnique/>
      </w:docPartObj>
    </w:sdtPr>
    <w:sdtEndPr>
      <w:rPr>
        <w:color w:val="7F7F7F" w:themeColor="background1" w:themeShade="7F"/>
        <w:spacing w:val="60"/>
      </w:rPr>
    </w:sdtEndPr>
    <w:sdtContent>
      <w:p w:rsidR="001419C2" w:rsidRDefault="001419C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55604" w:rsidRPr="00455604">
          <w:rPr>
            <w:b/>
            <w:bCs/>
            <w:noProof/>
          </w:rPr>
          <w:t>2</w:t>
        </w:r>
        <w:r>
          <w:rPr>
            <w:b/>
            <w:bCs/>
            <w:noProof/>
          </w:rPr>
          <w:fldChar w:fldCharType="end"/>
        </w:r>
        <w:r>
          <w:rPr>
            <w:b/>
            <w:bCs/>
          </w:rPr>
          <w:t xml:space="preserve"> | </w:t>
        </w:r>
        <w:r>
          <w:rPr>
            <w:color w:val="7F7F7F" w:themeColor="background1" w:themeShade="7F"/>
            <w:spacing w:val="60"/>
          </w:rPr>
          <w:t>Page</w:t>
        </w:r>
      </w:p>
    </w:sdtContent>
  </w:sdt>
  <w:p w:rsidR="001419C2" w:rsidRDefault="001419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9C2" w:rsidRDefault="001419C2" w:rsidP="001419C2">
      <w:r>
        <w:separator/>
      </w:r>
    </w:p>
  </w:footnote>
  <w:footnote w:type="continuationSeparator" w:id="0">
    <w:p w:rsidR="001419C2" w:rsidRDefault="001419C2" w:rsidP="001419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594842"/>
    <w:multiLevelType w:val="hybridMultilevel"/>
    <w:tmpl w:val="C28E69E8"/>
    <w:lvl w:ilvl="0" w:tplc="45D697D8">
      <w:start w:val="1"/>
      <w:numFmt w:val="decimal"/>
      <w:lvlText w:val="%1)"/>
      <w:lvlJc w:val="left"/>
      <w:pPr>
        <w:ind w:left="864" w:hanging="360"/>
      </w:pPr>
      <w:rPr>
        <w:rFonts w:ascii="Calibri" w:eastAsia="Calibri" w:hAnsi="Calibri" w:cs="Calibri" w:hint="default"/>
        <w:b w:val="0"/>
        <w:bCs w:val="0"/>
        <w:i w:val="0"/>
        <w:iCs w:val="0"/>
        <w:w w:val="100"/>
        <w:sz w:val="22"/>
        <w:szCs w:val="22"/>
        <w:lang w:val="en-GB" w:eastAsia="en-US" w:bidi="ar-SA"/>
      </w:rPr>
    </w:lvl>
    <w:lvl w:ilvl="1" w:tplc="C3B21376">
      <w:numFmt w:val="bullet"/>
      <w:lvlText w:val="•"/>
      <w:lvlJc w:val="left"/>
      <w:pPr>
        <w:ind w:left="2164" w:hanging="360"/>
      </w:pPr>
      <w:rPr>
        <w:rFonts w:hint="default"/>
        <w:lang w:val="en-GB" w:eastAsia="en-US" w:bidi="ar-SA"/>
      </w:rPr>
    </w:lvl>
    <w:lvl w:ilvl="2" w:tplc="D1EA7D20">
      <w:numFmt w:val="bullet"/>
      <w:lvlText w:val="•"/>
      <w:lvlJc w:val="left"/>
      <w:pPr>
        <w:ind w:left="3469" w:hanging="360"/>
      </w:pPr>
      <w:rPr>
        <w:rFonts w:hint="default"/>
        <w:lang w:val="en-GB" w:eastAsia="en-US" w:bidi="ar-SA"/>
      </w:rPr>
    </w:lvl>
    <w:lvl w:ilvl="3" w:tplc="C9AED0B0">
      <w:numFmt w:val="bullet"/>
      <w:lvlText w:val="•"/>
      <w:lvlJc w:val="left"/>
      <w:pPr>
        <w:ind w:left="4773" w:hanging="360"/>
      </w:pPr>
      <w:rPr>
        <w:rFonts w:hint="default"/>
        <w:lang w:val="en-GB" w:eastAsia="en-US" w:bidi="ar-SA"/>
      </w:rPr>
    </w:lvl>
    <w:lvl w:ilvl="4" w:tplc="93F6BC12">
      <w:numFmt w:val="bullet"/>
      <w:lvlText w:val="•"/>
      <w:lvlJc w:val="left"/>
      <w:pPr>
        <w:ind w:left="6078" w:hanging="360"/>
      </w:pPr>
      <w:rPr>
        <w:rFonts w:hint="default"/>
        <w:lang w:val="en-GB" w:eastAsia="en-US" w:bidi="ar-SA"/>
      </w:rPr>
    </w:lvl>
    <w:lvl w:ilvl="5" w:tplc="B1E8B978">
      <w:numFmt w:val="bullet"/>
      <w:lvlText w:val="•"/>
      <w:lvlJc w:val="left"/>
      <w:pPr>
        <w:ind w:left="7382" w:hanging="360"/>
      </w:pPr>
      <w:rPr>
        <w:rFonts w:hint="default"/>
        <w:lang w:val="en-GB" w:eastAsia="en-US" w:bidi="ar-SA"/>
      </w:rPr>
    </w:lvl>
    <w:lvl w:ilvl="6" w:tplc="D4F8B48E">
      <w:numFmt w:val="bullet"/>
      <w:lvlText w:val="•"/>
      <w:lvlJc w:val="left"/>
      <w:pPr>
        <w:ind w:left="8687" w:hanging="360"/>
      </w:pPr>
      <w:rPr>
        <w:rFonts w:hint="default"/>
        <w:lang w:val="en-GB" w:eastAsia="en-US" w:bidi="ar-SA"/>
      </w:rPr>
    </w:lvl>
    <w:lvl w:ilvl="7" w:tplc="3878AC0C">
      <w:numFmt w:val="bullet"/>
      <w:lvlText w:val="•"/>
      <w:lvlJc w:val="left"/>
      <w:pPr>
        <w:ind w:left="9991" w:hanging="360"/>
      </w:pPr>
      <w:rPr>
        <w:rFonts w:hint="default"/>
        <w:lang w:val="en-GB" w:eastAsia="en-US" w:bidi="ar-SA"/>
      </w:rPr>
    </w:lvl>
    <w:lvl w:ilvl="8" w:tplc="C9F40C0C">
      <w:numFmt w:val="bullet"/>
      <w:lvlText w:val="•"/>
      <w:lvlJc w:val="left"/>
      <w:pPr>
        <w:ind w:left="11296" w:hanging="360"/>
      </w:pPr>
      <w:rPr>
        <w:rFonts w:hint="default"/>
        <w:lang w:val="en-GB"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36F"/>
    <w:rsid w:val="001419C2"/>
    <w:rsid w:val="00455604"/>
    <w:rsid w:val="004671B9"/>
    <w:rsid w:val="005A4794"/>
    <w:rsid w:val="006C0BCF"/>
    <w:rsid w:val="008273D0"/>
    <w:rsid w:val="009103BD"/>
    <w:rsid w:val="0094284B"/>
    <w:rsid w:val="009A355D"/>
    <w:rsid w:val="00BD731B"/>
    <w:rsid w:val="00E17DBD"/>
    <w:rsid w:val="00E862F4"/>
    <w:rsid w:val="00F86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F85FA"/>
  <w15:docId w15:val="{C7E7B9BD-B2EF-4DCE-8495-15E16A19D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table" w:styleId="TableGrid">
    <w:name w:val="Table Grid"/>
    <w:basedOn w:val="TableNormal"/>
    <w:uiPriority w:val="39"/>
    <w:rsid w:val="005A4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
    <w:name w:val="1 body copy"/>
    <w:basedOn w:val="Normal"/>
    <w:link w:val="1bodycopyChar"/>
    <w:qFormat/>
    <w:rsid w:val="009A355D"/>
    <w:pPr>
      <w:widowControl/>
      <w:autoSpaceDE/>
      <w:autoSpaceDN/>
      <w:spacing w:after="120"/>
    </w:pPr>
    <w:rPr>
      <w:rFonts w:ascii="Arial" w:eastAsia="MS Mincho" w:hAnsi="Arial" w:cs="Times New Roman"/>
      <w:sz w:val="20"/>
      <w:szCs w:val="24"/>
      <w:lang w:val="en-US"/>
    </w:rPr>
  </w:style>
  <w:style w:type="paragraph" w:customStyle="1" w:styleId="2Subheadpink">
    <w:name w:val="2 Subhead pink"/>
    <w:next w:val="1bodycopy"/>
    <w:qFormat/>
    <w:rsid w:val="009A355D"/>
    <w:pPr>
      <w:widowControl/>
      <w:autoSpaceDE/>
      <w:autoSpaceDN/>
      <w:spacing w:before="360" w:after="120" w:line="259" w:lineRule="auto"/>
    </w:pPr>
    <w:rPr>
      <w:rFonts w:ascii="Arial" w:eastAsia="MS Mincho" w:hAnsi="Arial" w:cs="Arial"/>
      <w:b/>
      <w:color w:val="FF1F64"/>
      <w:sz w:val="32"/>
      <w:szCs w:val="32"/>
    </w:rPr>
  </w:style>
  <w:style w:type="character" w:customStyle="1" w:styleId="1bodycopyChar">
    <w:name w:val="1 body copy Char"/>
    <w:link w:val="1bodycopy"/>
    <w:rsid w:val="009A355D"/>
    <w:rPr>
      <w:rFonts w:ascii="Arial" w:eastAsia="MS Mincho" w:hAnsi="Arial" w:cs="Times New Roman"/>
      <w:sz w:val="20"/>
      <w:szCs w:val="24"/>
    </w:rPr>
  </w:style>
  <w:style w:type="paragraph" w:customStyle="1" w:styleId="7Tablebodycopy">
    <w:name w:val="7 Table body copy"/>
    <w:basedOn w:val="1bodycopy"/>
    <w:qFormat/>
    <w:rsid w:val="009A355D"/>
    <w:pPr>
      <w:spacing w:after="60"/>
    </w:pPr>
  </w:style>
  <w:style w:type="paragraph" w:customStyle="1" w:styleId="7Tablecopybulleted">
    <w:name w:val="7 Table copy bulleted"/>
    <w:basedOn w:val="7Tablebodycopy"/>
    <w:qFormat/>
    <w:rsid w:val="009A355D"/>
    <w:pPr>
      <w:numPr>
        <w:numId w:val="2"/>
      </w:numPr>
    </w:pPr>
  </w:style>
  <w:style w:type="paragraph" w:customStyle="1" w:styleId="7Tablebodybulleted">
    <w:name w:val="7 Table body bulleted"/>
    <w:basedOn w:val="Normal"/>
    <w:qFormat/>
    <w:rsid w:val="009A355D"/>
    <w:pPr>
      <w:widowControl/>
      <w:numPr>
        <w:numId w:val="3"/>
      </w:numPr>
      <w:autoSpaceDE/>
      <w:autoSpaceDN/>
      <w:spacing w:after="120"/>
      <w:ind w:right="284"/>
    </w:pPr>
    <w:rPr>
      <w:rFonts w:ascii="Arial" w:eastAsia="MS Mincho" w:hAnsi="Arial" w:cs="Times New Roman"/>
      <w:sz w:val="20"/>
      <w:szCs w:val="24"/>
      <w:lang w:val="en-US"/>
    </w:rPr>
  </w:style>
  <w:style w:type="character" w:styleId="Hyperlink">
    <w:name w:val="Hyperlink"/>
    <w:uiPriority w:val="99"/>
    <w:unhideWhenUsed/>
    <w:qFormat/>
    <w:rsid w:val="001419C2"/>
    <w:rPr>
      <w:color w:val="0072CC"/>
      <w:u w:val="single"/>
    </w:rPr>
  </w:style>
  <w:style w:type="paragraph" w:styleId="Header">
    <w:name w:val="header"/>
    <w:basedOn w:val="Normal"/>
    <w:link w:val="HeaderChar"/>
    <w:uiPriority w:val="99"/>
    <w:unhideWhenUsed/>
    <w:rsid w:val="001419C2"/>
    <w:pPr>
      <w:tabs>
        <w:tab w:val="center" w:pos="4513"/>
        <w:tab w:val="right" w:pos="9026"/>
      </w:tabs>
    </w:pPr>
  </w:style>
  <w:style w:type="character" w:customStyle="1" w:styleId="HeaderChar">
    <w:name w:val="Header Char"/>
    <w:basedOn w:val="DefaultParagraphFont"/>
    <w:link w:val="Header"/>
    <w:uiPriority w:val="99"/>
    <w:rsid w:val="001419C2"/>
    <w:rPr>
      <w:rFonts w:ascii="Calibri" w:eastAsia="Calibri" w:hAnsi="Calibri" w:cs="Calibri"/>
      <w:lang w:val="en-GB"/>
    </w:rPr>
  </w:style>
  <w:style w:type="paragraph" w:styleId="Footer">
    <w:name w:val="footer"/>
    <w:basedOn w:val="Normal"/>
    <w:link w:val="FooterChar"/>
    <w:uiPriority w:val="99"/>
    <w:unhideWhenUsed/>
    <w:rsid w:val="001419C2"/>
    <w:pPr>
      <w:tabs>
        <w:tab w:val="center" w:pos="4513"/>
        <w:tab w:val="right" w:pos="9026"/>
      </w:tabs>
    </w:pPr>
  </w:style>
  <w:style w:type="character" w:customStyle="1" w:styleId="FooterChar">
    <w:name w:val="Footer Char"/>
    <w:basedOn w:val="DefaultParagraphFont"/>
    <w:link w:val="Footer"/>
    <w:uiPriority w:val="99"/>
    <w:rsid w:val="001419C2"/>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ECC22-4A7B-4115-AE3E-94E1F2D0F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Bowers</dc:creator>
  <cp:lastModifiedBy>Sarah Campbell</cp:lastModifiedBy>
  <cp:revision>2</cp:revision>
  <dcterms:created xsi:type="dcterms:W3CDTF">2021-12-05T10:46:00Z</dcterms:created>
  <dcterms:modified xsi:type="dcterms:W3CDTF">2021-12-05T10:46:00Z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2020-10-01T00:00:00Z</vt:filetime>
  </property>
  <property fmtid="{D5CDD505-2E9C-101B-9397-08002B2CF9AE}" pid="3" name="Creator">
    <vt:lpwstr>Microsoft® Word for Office 365</vt:lpwstr>
  </property>
  <property fmtid="{D5CDD505-2E9C-101B-9397-08002B2CF9AE}" pid="4" name="LastSaved">
    <vt:filetime>2021-06-06T00:00:00Z</vt:filetime>
  </property>
</Properties>
</file>