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rPr>
        <w:t>Settlebeck School Pupil Premium Statement</w:t>
      </w:r>
    </w:p>
    <w:p>
      <w:pPr>
        <w:rPr>
          <w:rFonts w:asciiTheme="minorHAnsi" w:hAnsiTheme="minorHAnsi" w:cstheme="minorHAnsi"/>
          <w:b/>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Pr>
          <w:rFonts w:asciiTheme="minorHAnsi" w:hAnsiTheme="minorHAnsi" w:cstheme="minorHAnsi"/>
        </w:rPr>
        <w:t>This statement details our school’s use of pupil premium fund</w:t>
      </w:r>
      <w:bookmarkStart w:id="14" w:name="_GoBack"/>
      <w:bookmarkEnd w:id="14"/>
      <w:r>
        <w:rPr>
          <w:rFonts w:asciiTheme="minorHAnsi" w:hAnsiTheme="minorHAnsi" w:cstheme="minorHAnsi"/>
        </w:rPr>
        <w:t xml:space="preserve">ing to help improve the attainment of our disadvantaged pupils. </w:t>
      </w:r>
    </w:p>
    <w:p>
      <w:pPr>
        <w:spacing w:after="0"/>
        <w:rPr>
          <w:rFonts w:asciiTheme="minorHAnsi" w:hAnsiTheme="minorHAnsi" w:cstheme="minorHAnsi"/>
          <w:b/>
        </w:rPr>
      </w:pPr>
      <w:r>
        <w:rPr>
          <w:rFonts w:asciiTheme="minorHAnsi" w:hAnsiTheme="minorHAnsi" w:cstheme="minorHAnsi"/>
        </w:rPr>
        <w:t>It outlines our pupil premium strategy, how we intend to spend the funding in this academic year and the outcomes for disadvantaged pupils last academic year.</w:t>
      </w:r>
    </w:p>
    <w:p>
      <w:pPr>
        <w:pStyle w:val="Heading2"/>
        <w:spacing w:before="0"/>
        <w:rPr>
          <w:rFonts w:asciiTheme="minorHAnsi" w:hAnsiTheme="minorHAnsi" w:cstheme="minorHAnsi"/>
        </w:rPr>
      </w:pPr>
      <w:r>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Data</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208</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18.27%</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 xml:space="preserve">Academic year/years that our current pupil premium strategy plan covers </w:t>
            </w:r>
            <w:r>
              <w:rPr>
                <w:rFonts w:asciiTheme="minorHAnsi" w:hAnsiTheme="minorHAnsi" w:cstheme="minorHAnsi"/>
                <w:b/>
              </w:rPr>
              <w:t>(3-year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2024-2027</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December 2024</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November 2025</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Mrs S Campbell</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Mr D Greenwood</w:t>
            </w:r>
          </w:p>
        </w:tc>
      </w:tr>
      <w:t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Mr R Scott</w:t>
            </w:r>
          </w:p>
        </w:tc>
      </w:tr>
    </w:tbl>
    <w:bookmarkEnd w:id="2"/>
    <w:bookmarkEnd w:id="3"/>
    <w:bookmarkEnd w:id="4"/>
    <w:p>
      <w:pPr>
        <w:pStyle w:val="Heading2"/>
        <w:rPr>
          <w:rFonts w:asciiTheme="minorHAnsi" w:hAnsiTheme="minorHAnsi" w:cstheme="minorHAnsi"/>
        </w:rPr>
      </w:pPr>
      <w:r>
        <w:rPr>
          <w:rFonts w:asciiTheme="minorHAnsi" w:hAnsiTheme="minorHAnsi" w:cstheme="minorHAnsi"/>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pPr>
              <w:pStyle w:val="TableRow"/>
              <w:rPr>
                <w:rFonts w:asciiTheme="minorHAnsi" w:hAnsiTheme="minorHAnsi" w:cstheme="minorHAnsi"/>
              </w:rPr>
            </w:pPr>
            <w:r>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pPr>
              <w:pStyle w:val="TableRow"/>
              <w:rPr>
                <w:rFonts w:asciiTheme="minorHAnsi" w:hAnsiTheme="minorHAnsi" w:cstheme="minorHAnsi"/>
              </w:rPr>
            </w:pPr>
            <w:r>
              <w:rPr>
                <w:rFonts w:asciiTheme="minorHAnsi" w:hAnsiTheme="minorHAnsi" w:cstheme="minorHAnsi"/>
                <w:b/>
              </w:rPr>
              <w:t>Amount</w:t>
            </w:r>
          </w:p>
        </w:tc>
      </w:tr>
      <w:tr>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pPr>
              <w:pStyle w:val="TableRow"/>
              <w:rPr>
                <w:rFonts w:asciiTheme="minorHAnsi" w:hAnsiTheme="minorHAnsi" w:cstheme="minorHAnsi"/>
              </w:rPr>
            </w:pPr>
            <w:r>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£46,080.00</w:t>
            </w:r>
          </w:p>
        </w:tc>
      </w:tr>
      <w:tr>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pPr>
              <w:pStyle w:val="TableRow"/>
              <w:spacing w:after="120"/>
              <w:rPr>
                <w:rFonts w:asciiTheme="minorHAnsi" w:hAnsiTheme="minorHAnsi" w:cstheme="minorHAnsi"/>
              </w:rPr>
            </w:pPr>
            <w:r>
              <w:rPr>
                <w:rFonts w:asciiTheme="minorHAnsi" w:hAnsiTheme="minorHAnsi" w:cstheme="minorHAnsi"/>
              </w:rPr>
              <w:t xml:space="preserve">Pupil premium funding carried forward from previous years </w:t>
            </w:r>
            <w:r>
              <w:rPr>
                <w:rFonts w:asciiTheme="minorHAnsi" w:hAnsiTheme="minorHAnsi" w:cstheme="minorHAnsi"/>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£0</w:t>
            </w:r>
          </w:p>
        </w:tc>
      </w:tr>
      <w:t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spacing w:after="120"/>
              <w:rPr>
                <w:rFonts w:asciiTheme="minorHAnsi" w:hAnsiTheme="minorHAnsi" w:cstheme="minorHAnsi"/>
                <w:b/>
              </w:rPr>
            </w:pPr>
            <w:r>
              <w:rPr>
                <w:rFonts w:asciiTheme="minorHAnsi" w:hAnsiTheme="minorHAnsi" w:cstheme="minorHAnsi"/>
                <w:b/>
              </w:rPr>
              <w:t>Total budget for this academic year</w:t>
            </w:r>
          </w:p>
          <w:p>
            <w:pPr>
              <w:pStyle w:val="TableRow"/>
              <w:rPr>
                <w:rFonts w:asciiTheme="minorHAnsi" w:hAnsiTheme="minorHAnsi" w:cstheme="minorHAnsi"/>
                <w:i/>
                <w:iCs/>
              </w:rPr>
            </w:pPr>
            <w:r>
              <w:rPr>
                <w:rFonts w:asciiTheme="minorHAnsi" w:hAnsiTheme="minorHAnsi" w:cstheme="minorHAnsi"/>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£54,046</w:t>
            </w:r>
          </w:p>
        </w:tc>
      </w:tr>
    </w:tbl>
    <w:p>
      <w:pPr>
        <w:pStyle w:val="Heading1"/>
        <w:rPr>
          <w:rFonts w:asciiTheme="minorHAnsi" w:hAnsiTheme="minorHAnsi" w:cstheme="minorHAnsi"/>
          <w:sz w:val="28"/>
          <w:szCs w:val="28"/>
        </w:rPr>
      </w:pPr>
      <w:r>
        <w:rPr>
          <w:rFonts w:asciiTheme="minorHAnsi" w:hAnsiTheme="minorHAnsi" w:cstheme="minorHAnsi"/>
          <w:sz w:val="28"/>
          <w:szCs w:val="28"/>
        </w:rPr>
        <w:lastRenderedPageBreak/>
        <w:t>Part A: Pupil premium strategy plan</w:t>
      </w:r>
    </w:p>
    <w:p>
      <w:pPr>
        <w:pStyle w:val="Heading2"/>
        <w:spacing w:before="240"/>
        <w:rPr>
          <w:rFonts w:asciiTheme="minorHAnsi" w:hAnsiTheme="minorHAnsi" w:cstheme="minorHAnsi"/>
          <w:sz w:val="28"/>
          <w:szCs w:val="28"/>
        </w:rPr>
      </w:pPr>
      <w:bookmarkStart w:id="15" w:name="_Toc357771640"/>
      <w:bookmarkStart w:id="16" w:name="_Toc346793418"/>
      <w:r>
        <w:rPr>
          <w:rFonts w:asciiTheme="minorHAnsi" w:hAnsiTheme="minorHAnsi" w:cstheme="minorHAnsi"/>
          <w:sz w:val="28"/>
          <w:szCs w:val="28"/>
        </w:rPr>
        <w:t>Statement of intent</w:t>
      </w:r>
    </w:p>
    <w:tbl>
      <w:tblPr>
        <w:tblW w:w="9486" w:type="dxa"/>
        <w:tblCellMar>
          <w:left w:w="10" w:type="dxa"/>
          <w:right w:w="10" w:type="dxa"/>
        </w:tblCellMar>
        <w:tblLook w:val="04A0" w:firstRow="1" w:lastRow="0" w:firstColumn="1" w:lastColumn="0" w:noHBand="0" w:noVBand="1"/>
      </w:tblPr>
      <w:tblGrid>
        <w:gridCol w:w="9486"/>
      </w:tblGrid>
      <w:t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before="120"/>
              <w:rPr>
                <w:rFonts w:asciiTheme="minorHAnsi" w:hAnsiTheme="minorHAnsi" w:cstheme="minorHAnsi"/>
              </w:rPr>
            </w:pPr>
            <w:r>
              <w:rPr>
                <w:rFonts w:asciiTheme="minorHAnsi" w:hAnsiTheme="minorHAnsi" w:cstheme="minorHAnsi"/>
              </w:rPr>
              <w:t xml:space="preserve">Settlebeck School, is an 11-16 academy in rural Cumbria, with 208 students on roll. The school is designated as a resourced provision for autism and has a significantly higher than national average number of students with SEND; ECHP 19.23% compared with 4.8% nationally, SEND Support 19% compared with 13.6% nationally. 29% students eligible for the Pupil Premium grant have a special educational need which further increases the barriers to learning they face. </w:t>
            </w:r>
          </w:p>
          <w:p>
            <w:pPr>
              <w:spacing w:before="120"/>
              <w:rPr>
                <w:rFonts w:asciiTheme="minorHAnsi" w:hAnsiTheme="minorHAnsi" w:cstheme="minorHAnsi"/>
              </w:rPr>
            </w:pPr>
            <w:r>
              <w:rPr>
                <w:rFonts w:asciiTheme="minorHAnsi" w:hAnsiTheme="minorHAnsi" w:cstheme="minorHAnsi"/>
              </w:rPr>
              <w:t xml:space="preserve">At Settlebeck School, our young people are at the heart of everything we do. We have high expectations for all pupils in our school, and believe that with high quality teaching, effective engagement with parents and a personalised approach tailored to meet individual needs, every child can fulfil their individual potential, both academically and socially. We aim to close the attainment gap be implementing evidence-based strategies, providing high-quality teaching, and offering targeted academic and pastoral support. By fostering an inclusive environment and addressing individual needs, we seek to enhance pupil confidence, engagement and overall well-being. This includes equipping our staff with the necessary training and resources to deliver effective strategies, alongside regular monitoring and evaluation to refine our approach and maximise the benefit for pupils. </w:t>
            </w:r>
          </w:p>
          <w:p>
            <w:pPr>
              <w:spacing w:before="120"/>
              <w:rPr>
                <w:rFonts w:asciiTheme="minorHAnsi" w:hAnsiTheme="minorHAnsi" w:cstheme="minorHAnsi"/>
              </w:rPr>
            </w:pPr>
            <w:r>
              <w:rPr>
                <w:rFonts w:asciiTheme="minorHAnsi" w:hAnsiTheme="minorHAnsi" w:cstheme="minorHAnsi"/>
              </w:rPr>
              <w:t>Our strategic plan focuses on:</w:t>
            </w:r>
          </w:p>
          <w:p>
            <w:pPr>
              <w:pStyle w:val="ListParagraph"/>
              <w:numPr>
                <w:ilvl w:val="0"/>
                <w:numId w:val="20"/>
              </w:numPr>
              <w:spacing w:before="120"/>
              <w:rPr>
                <w:rFonts w:asciiTheme="minorHAnsi" w:hAnsiTheme="minorHAnsi" w:cstheme="minorHAnsi"/>
              </w:rPr>
            </w:pPr>
            <w:r>
              <w:rPr>
                <w:rFonts w:asciiTheme="minorHAnsi" w:hAnsiTheme="minorHAnsi" w:cstheme="minorHAnsi"/>
              </w:rPr>
              <w:t>High quality teaching and learning in every classroom</w:t>
            </w:r>
          </w:p>
          <w:p>
            <w:pPr>
              <w:pStyle w:val="ListParagraph"/>
              <w:numPr>
                <w:ilvl w:val="0"/>
                <w:numId w:val="20"/>
              </w:numPr>
              <w:spacing w:before="120"/>
              <w:rPr>
                <w:rFonts w:asciiTheme="minorHAnsi" w:hAnsiTheme="minorHAnsi" w:cstheme="minorHAnsi"/>
              </w:rPr>
            </w:pPr>
            <w:r>
              <w:rPr>
                <w:rFonts w:asciiTheme="minorHAnsi" w:hAnsiTheme="minorHAnsi" w:cstheme="minorHAnsi"/>
              </w:rPr>
              <w:t xml:space="preserve">Providing high quality professional development for staff to ensure that disadvantaged pupils make good progress. </w:t>
            </w:r>
          </w:p>
          <w:p>
            <w:pPr>
              <w:pStyle w:val="ListParagraph"/>
              <w:numPr>
                <w:ilvl w:val="0"/>
                <w:numId w:val="20"/>
              </w:numPr>
              <w:spacing w:before="120"/>
              <w:rPr>
                <w:rFonts w:asciiTheme="minorHAnsi" w:hAnsiTheme="minorHAnsi" w:cstheme="minorHAnsi"/>
              </w:rPr>
            </w:pPr>
            <w:r>
              <w:rPr>
                <w:rFonts w:asciiTheme="minorHAnsi" w:hAnsiTheme="minorHAnsi" w:cstheme="minorHAnsi"/>
              </w:rPr>
              <w:t>Increased attendance rates so disadvantaged pupils have the best opportunity to learn and thrive</w:t>
            </w:r>
          </w:p>
          <w:p>
            <w:pPr>
              <w:pStyle w:val="ListParagraph"/>
              <w:numPr>
                <w:ilvl w:val="0"/>
                <w:numId w:val="20"/>
              </w:numPr>
              <w:spacing w:before="120"/>
              <w:rPr>
                <w:rFonts w:asciiTheme="minorHAnsi" w:hAnsiTheme="minorHAnsi" w:cstheme="minorHAnsi"/>
              </w:rPr>
            </w:pPr>
            <w:r>
              <w:rPr>
                <w:rFonts w:asciiTheme="minorHAnsi" w:hAnsiTheme="minorHAnsi" w:cstheme="minorHAnsi"/>
              </w:rPr>
              <w:t xml:space="preserve">Improving reading and mathematics scores so they achieve in line with their peers and chronological age. </w:t>
            </w:r>
          </w:p>
          <w:p>
            <w:pPr>
              <w:pStyle w:val="ListParagraph"/>
              <w:numPr>
                <w:ilvl w:val="0"/>
                <w:numId w:val="20"/>
              </w:numPr>
              <w:spacing w:before="120"/>
              <w:rPr>
                <w:rFonts w:asciiTheme="minorHAnsi" w:hAnsiTheme="minorHAnsi" w:cstheme="minorHAnsi"/>
              </w:rPr>
            </w:pPr>
            <w:r>
              <w:rPr>
                <w:rFonts w:asciiTheme="minorHAnsi" w:hAnsiTheme="minorHAnsi" w:cstheme="minorHAnsi"/>
              </w:rPr>
              <w:t>Provide opportunities to develop cultural capital be removing the barriers to engagement in enrichment opportunities.</w:t>
            </w:r>
          </w:p>
          <w:p>
            <w:pPr>
              <w:pStyle w:val="ListParagraph"/>
              <w:numPr>
                <w:ilvl w:val="0"/>
                <w:numId w:val="20"/>
              </w:numPr>
              <w:spacing w:before="120"/>
              <w:rPr>
                <w:rFonts w:asciiTheme="minorHAnsi" w:hAnsiTheme="minorHAnsi" w:cstheme="minorHAnsi"/>
              </w:rPr>
            </w:pPr>
            <w:r>
              <w:rPr>
                <w:rFonts w:asciiTheme="minorHAnsi" w:hAnsiTheme="minorHAnsi" w:cstheme="minorHAnsi"/>
              </w:rPr>
              <w:t xml:space="preserve">Ensuring that disadvantaged pupils have the access to the resources they need to learn. </w:t>
            </w:r>
          </w:p>
          <w:p>
            <w:pPr>
              <w:rPr>
                <w:rFonts w:asciiTheme="minorHAnsi" w:hAnsiTheme="minorHAnsi" w:cstheme="minorHAnsi"/>
              </w:rPr>
            </w:pPr>
          </w:p>
          <w:p>
            <w:pPr>
              <w:rPr>
                <w:rFonts w:asciiTheme="minorHAnsi" w:hAnsiTheme="minorHAnsi" w:cstheme="minorHAnsi"/>
                <w:i/>
                <w:iCs/>
              </w:rPr>
            </w:pPr>
          </w:p>
        </w:tc>
      </w:tr>
    </w:tbl>
    <w:p>
      <w:pPr>
        <w:pStyle w:val="Heading2"/>
        <w:spacing w:before="600"/>
        <w:rPr>
          <w:rFonts w:asciiTheme="minorHAnsi" w:hAnsiTheme="minorHAnsi" w:cstheme="minorHAnsi"/>
        </w:rPr>
      </w:pPr>
      <w:r>
        <w:rPr>
          <w:rFonts w:asciiTheme="minorHAnsi" w:hAnsiTheme="minorHAnsi" w:cstheme="minorHAnsi"/>
        </w:rPr>
        <w:lastRenderedPageBreak/>
        <w:t>Challenges</w:t>
      </w:r>
    </w:p>
    <w:p>
      <w:pPr>
        <w:rPr>
          <w:rFonts w:asciiTheme="minorHAnsi" w:hAnsiTheme="minorHAnsi" w:cstheme="minorHAnsi"/>
        </w:rPr>
      </w:pPr>
      <w:r>
        <w:rPr>
          <w:rFonts w:asciiTheme="minorHAnsi" w:hAnsiTheme="minorHAnsi" w:cstheme="minorHAnsi"/>
          <w:bCs/>
        </w:rPr>
        <w:t>This details</w:t>
      </w:r>
      <w:r>
        <w:rPr>
          <w:rFonts w:asciiTheme="minorHAnsi" w:hAnsiTheme="minorHAnsi" w:cstheme="minorHAnsi"/>
        </w:rPr>
        <w:t xml:space="preserve"> the key</w:t>
      </w:r>
      <w:r>
        <w:rPr>
          <w:rFonts w:asciiTheme="minorHAnsi" w:hAnsiTheme="minorHAnsi" w:cstheme="minorHAnsi"/>
          <w:bCs/>
        </w:rPr>
        <w:t xml:space="preserve"> </w:t>
      </w:r>
      <w:r>
        <w:rPr>
          <w:rFonts w:asciiTheme="minorHAnsi" w:hAnsiTheme="minorHAnsi" w:cstheme="minorHAnsi"/>
        </w:rPr>
        <w:t xml:space="preserve">challenges to </w:t>
      </w:r>
      <w:r>
        <w:rPr>
          <w:rFonts w:asciiTheme="minorHAnsi" w:hAnsiTheme="minorHAnsi" w:cstheme="minorHAnsi"/>
          <w:bCs/>
        </w:rPr>
        <w:t>achievement that we have</w:t>
      </w:r>
      <w:r>
        <w:rPr>
          <w:rFonts w:asciiTheme="minorHAnsi" w:hAnsiTheme="minorHAnsi" w:cstheme="minorHAnsi"/>
        </w:rPr>
        <w:t xml:space="preserve"> identified among </w:t>
      </w:r>
      <w:r>
        <w:rPr>
          <w:rFonts w:asciiTheme="minorHAnsi" w:hAnsiTheme="minorHAnsi" w:cstheme="minorHAnsi"/>
          <w:bCs/>
        </w:rPr>
        <w:t>our</w:t>
      </w:r>
      <w:r>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 xml:space="preserve">Detail of challenge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0"/>
              <w:jc w:val="left"/>
              <w:rPr>
                <w:rFonts w:asciiTheme="minorHAnsi" w:hAnsiTheme="minorHAnsi" w:cstheme="minorHAnsi"/>
              </w:rPr>
            </w:pPr>
            <w:r>
              <w:rPr>
                <w:rFonts w:asciiTheme="minorHAnsi" w:hAnsiTheme="minorHAnsi" w:cstheme="minorHAnsi"/>
                <w:iCs/>
                <w:sz w:val="22"/>
                <w:szCs w:val="22"/>
              </w:rPr>
              <w:t>Reading and spelling. Disadvantaged students are working, on average, below age related expectations in reading, spelling and maths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 greater proportion of students have wellbeing issues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Persistent absence amongst disadvantaged students is above that of their peers.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0"/>
              <w:jc w:val="left"/>
              <w:rPr>
                <w:rFonts w:asciiTheme="minorHAnsi" w:hAnsiTheme="minorHAnsi" w:cstheme="minorHAnsi"/>
                <w:iCs/>
                <w:sz w:val="22"/>
              </w:rPr>
            </w:pPr>
            <w:r>
              <w:rPr>
                <w:rFonts w:asciiTheme="minorHAnsi" w:hAnsiTheme="minorHAnsi" w:cstheme="minorHAnsi"/>
                <w:iCs/>
                <w:sz w:val="22"/>
              </w:rPr>
              <w:t xml:space="preserve">Our inclusive ethos means we enrol students with a history of poor attendance and/or wellbeing students as in year transfers.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bookmarkStart w:id="17" w:name="_Toc443397160"/>
            <w:r>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iCs/>
                <w:sz w:val="22"/>
              </w:rPr>
            </w:pPr>
            <w:r>
              <w:rPr>
                <w:rFonts w:asciiTheme="minorHAnsi" w:hAnsiTheme="minorHAnsi" w:cstheme="minorHAnsi"/>
                <w:iCs/>
                <w:sz w:val="22"/>
              </w:rPr>
              <w:t>A high proportion of students live rurally and puts our disadvantaged students at a greater disadvantage in terms of access to wider opportunities, IT access which can lead to social isolation</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iCs/>
                <w:sz w:val="22"/>
              </w:rPr>
            </w:pPr>
            <w:r>
              <w:rPr>
                <w:rFonts w:asciiTheme="minorHAnsi" w:hAnsiTheme="minorHAnsi" w:cstheme="minorHAnsi"/>
                <w:iCs/>
                <w:sz w:val="22"/>
              </w:rPr>
              <w:t xml:space="preserve">Some of our disadvantaged pupils do not have the resources they need to learn.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iCs/>
                <w:sz w:val="22"/>
              </w:rPr>
            </w:pPr>
            <w:r>
              <w:rPr>
                <w:rFonts w:asciiTheme="minorHAnsi" w:hAnsiTheme="minorHAnsi" w:cstheme="minorHAnsi"/>
                <w:iCs/>
                <w:sz w:val="22"/>
              </w:rPr>
              <w:t xml:space="preserve">29% of our disadvantaged students also have SEND increasing the barriers they face. </w:t>
            </w:r>
          </w:p>
        </w:tc>
      </w:tr>
    </w:tbl>
    <w:p>
      <w:pPr>
        <w:pStyle w:val="Heading2"/>
        <w:spacing w:before="240"/>
        <w:rPr>
          <w:rFonts w:asciiTheme="minorHAnsi" w:hAnsiTheme="minorHAnsi" w:cstheme="minorHAnsi"/>
          <w:sz w:val="28"/>
        </w:rPr>
      </w:pPr>
      <w:r>
        <w:rPr>
          <w:rFonts w:asciiTheme="minorHAnsi" w:hAnsiTheme="minorHAnsi" w:cstheme="minorHAnsi"/>
          <w:sz w:val="28"/>
        </w:rPr>
        <w:t xml:space="preserve">Intended outcomes </w:t>
      </w:r>
    </w:p>
    <w:p>
      <w:pPr>
        <w:rPr>
          <w:rFonts w:asciiTheme="minorHAnsi" w:hAnsiTheme="minorHAnsi" w:cstheme="minorHAnsi"/>
        </w:rPr>
      </w:pPr>
      <w:r>
        <w:rPr>
          <w:rFonts w:asciiTheme="minorHAnsi" w:hAnsiTheme="minorHAnsi" w:cstheme="minorHAnsi"/>
          <w:color w:val="auto"/>
        </w:rPr>
        <w:t xml:space="preserve">This explains the outcomes we are aiming for </w:t>
      </w:r>
      <w:r>
        <w:rPr>
          <w:rFonts w:asciiTheme="minorHAnsi" w:hAnsiTheme="minorHAnsi" w:cstheme="minorHAnsi"/>
          <w:b/>
          <w:bCs/>
          <w:color w:val="auto"/>
        </w:rPr>
        <w:t>by the end of our current strategy plan</w:t>
      </w:r>
      <w:r>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Success criteria</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iCs/>
                <w:sz w:val="22"/>
                <w:szCs w:val="22"/>
              </w:rPr>
              <w:t xml:space="preserve">Reading and spelling scores are in line with chronological age so they can access the curriculum.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szCs w:val="22"/>
              </w:rPr>
            </w:pPr>
            <w:r>
              <w:rPr>
                <w:rFonts w:asciiTheme="minorHAnsi" w:hAnsiTheme="minorHAnsi" w:cstheme="minorHAnsi"/>
                <w:sz w:val="22"/>
                <w:szCs w:val="22"/>
              </w:rPr>
              <w:t>Pupils will improve their reading and spelling scores so they are in line with age related expectations and the gap is narrowed</w:t>
            </w:r>
          </w:p>
          <w:p>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 xml:space="preserve">Analysis of NGRT and NGST assessments show improvement in reading and spelling scores and the gap between them and their peers has narrowed. </w:t>
            </w:r>
          </w:p>
          <w:p>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Book looks show improved application in lessons</w:t>
            </w:r>
          </w:p>
          <w:p>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Reading strategy shows impact</w:t>
            </w:r>
          </w:p>
          <w:p>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 xml:space="preserve">Interventions are evidence-based and show impact on outcomes.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Improve and sustain pupil wellbeing throughout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szCs w:val="22"/>
              </w:rPr>
            </w:pPr>
            <w:r>
              <w:rPr>
                <w:rFonts w:asciiTheme="minorHAnsi" w:hAnsiTheme="minorHAnsi" w:cstheme="minorHAnsi"/>
                <w:sz w:val="22"/>
                <w:szCs w:val="22"/>
              </w:rPr>
              <w:t>Higher levels of wellbeing will be demonstrated by:</w:t>
            </w:r>
          </w:p>
          <w:p>
            <w:pPr>
              <w:pStyle w:val="TableRowCentered"/>
              <w:numPr>
                <w:ilvl w:val="0"/>
                <w:numId w:val="16"/>
              </w:numPr>
              <w:jc w:val="left"/>
              <w:rPr>
                <w:rFonts w:asciiTheme="minorHAnsi" w:hAnsiTheme="minorHAnsi" w:cstheme="minorHAnsi"/>
                <w:sz w:val="22"/>
                <w:szCs w:val="22"/>
              </w:rPr>
            </w:pPr>
            <w:r>
              <w:rPr>
                <w:rFonts w:asciiTheme="minorHAnsi" w:hAnsiTheme="minorHAnsi" w:cstheme="minorHAnsi"/>
                <w:sz w:val="22"/>
                <w:szCs w:val="22"/>
              </w:rPr>
              <w:t>Data from student voice, surveys and staff observations</w:t>
            </w:r>
          </w:p>
          <w:p>
            <w:pPr>
              <w:pStyle w:val="TableRowCentered"/>
              <w:numPr>
                <w:ilvl w:val="0"/>
                <w:numId w:val="16"/>
              </w:numPr>
              <w:jc w:val="left"/>
              <w:rPr>
                <w:rFonts w:asciiTheme="minorHAnsi" w:hAnsiTheme="minorHAnsi" w:cstheme="minorHAnsi"/>
                <w:sz w:val="22"/>
                <w:szCs w:val="22"/>
              </w:rPr>
            </w:pPr>
            <w:r>
              <w:rPr>
                <w:rFonts w:asciiTheme="minorHAnsi" w:hAnsiTheme="minorHAnsi" w:cstheme="minorHAnsi"/>
                <w:sz w:val="22"/>
                <w:szCs w:val="22"/>
              </w:rPr>
              <w:lastRenderedPageBreak/>
              <w:t>Written records from key worker/mentoring sessions show improved wellbeing</w:t>
            </w:r>
          </w:p>
          <w:p>
            <w:pPr>
              <w:pStyle w:val="TableRowCentered"/>
              <w:numPr>
                <w:ilvl w:val="0"/>
                <w:numId w:val="16"/>
              </w:numPr>
              <w:jc w:val="left"/>
              <w:rPr>
                <w:rFonts w:asciiTheme="minorHAnsi" w:hAnsiTheme="minorHAnsi" w:cstheme="minorHAnsi"/>
                <w:sz w:val="22"/>
                <w:szCs w:val="22"/>
              </w:rPr>
            </w:pPr>
            <w:r>
              <w:rPr>
                <w:rFonts w:asciiTheme="minorHAnsi" w:hAnsiTheme="minorHAnsi" w:cstheme="minorHAnsi"/>
                <w:sz w:val="22"/>
                <w:szCs w:val="22"/>
              </w:rPr>
              <w:t>Reduction in referrals to external agencies</w:t>
            </w:r>
          </w:p>
          <w:p>
            <w:pPr>
              <w:pStyle w:val="TableRowCentered"/>
              <w:numPr>
                <w:ilvl w:val="0"/>
                <w:numId w:val="16"/>
              </w:numPr>
              <w:jc w:val="left"/>
              <w:rPr>
                <w:rFonts w:asciiTheme="minorHAnsi" w:hAnsiTheme="minorHAnsi" w:cstheme="minorHAnsi"/>
                <w:sz w:val="22"/>
                <w:szCs w:val="22"/>
              </w:rPr>
            </w:pPr>
            <w:r>
              <w:rPr>
                <w:rFonts w:asciiTheme="minorHAnsi" w:hAnsiTheme="minorHAnsi" w:cstheme="minorHAnsi"/>
                <w:sz w:val="22"/>
                <w:szCs w:val="22"/>
              </w:rPr>
              <w:t>Reduction in persistent and severe absence</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lastRenderedPageBreak/>
              <w:t>Disadvantaged pupils have a wide range of experiences to develop their character and cultural 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Pupils in eligible for pupil premium have access to the same opportunities as their peers</w:t>
            </w:r>
          </w:p>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Support for pupils eligible for pupil premium to access wider opportunities within the community</w:t>
            </w:r>
          </w:p>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 xml:space="preserve">All disadvantaged pupils to take part in at least on enrichment opportunity in the academic year.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Disadvantaged pupil’s attend school regularly.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 xml:space="preserve">Attendance in line with peers nationally.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 xml:space="preserve">Barriers to learning are removed – pupils have the resources they need to learn and home learning is completed with support progress and attainment.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 xml:space="preserve">All pupils have access to revision materials and guides. </w:t>
            </w:r>
          </w:p>
          <w:p>
            <w:pPr>
              <w:pStyle w:val="TableRowCentered"/>
              <w:numPr>
                <w:ilvl w:val="0"/>
                <w:numId w:val="18"/>
              </w:numPr>
              <w:jc w:val="left"/>
              <w:rPr>
                <w:rFonts w:asciiTheme="minorHAnsi" w:hAnsiTheme="minorHAnsi" w:cstheme="minorHAnsi"/>
                <w:sz w:val="22"/>
                <w:szCs w:val="22"/>
              </w:rPr>
            </w:pPr>
            <w:r>
              <w:rPr>
                <w:rFonts w:asciiTheme="minorHAnsi" w:hAnsiTheme="minorHAnsi" w:cstheme="minorHAnsi"/>
                <w:sz w:val="22"/>
                <w:szCs w:val="22"/>
              </w:rPr>
              <w:t xml:space="preserve">Homework support offered at lunchtime with increased uptake by disadvantaged pupils. </w:t>
            </w:r>
          </w:p>
        </w:tc>
      </w:tr>
    </w:tbl>
    <w:p>
      <w:pPr>
        <w:rPr>
          <w:rFonts w:asciiTheme="minorHAnsi" w:hAnsiTheme="minorHAnsi" w:cstheme="minorHAnsi"/>
        </w:rPr>
      </w:pPr>
    </w:p>
    <w:p>
      <w:pPr>
        <w:pStyle w:val="Heading2"/>
        <w:spacing w:before="120"/>
        <w:rPr>
          <w:rFonts w:asciiTheme="minorHAnsi" w:hAnsiTheme="minorHAnsi" w:cstheme="minorHAnsi"/>
          <w:sz w:val="28"/>
          <w:szCs w:val="28"/>
        </w:rPr>
      </w:pPr>
      <w:r>
        <w:rPr>
          <w:rFonts w:asciiTheme="minorHAnsi" w:hAnsiTheme="minorHAnsi" w:cstheme="minorHAnsi"/>
          <w:sz w:val="28"/>
          <w:szCs w:val="28"/>
        </w:rPr>
        <w:t>Activity in this academic year</w:t>
      </w:r>
    </w:p>
    <w:p>
      <w:pPr>
        <w:spacing w:after="480"/>
        <w:rPr>
          <w:rFonts w:asciiTheme="minorHAnsi" w:hAnsiTheme="minorHAnsi" w:cstheme="minorHAnsi"/>
        </w:rPr>
      </w:pPr>
      <w:r>
        <w:rPr>
          <w:rFonts w:asciiTheme="minorHAnsi" w:hAnsiTheme="minorHAnsi" w:cstheme="minorHAnsi"/>
        </w:rPr>
        <w:t xml:space="preserve">This details how we intend to spend our pupil premium (and recovery premium) funding </w:t>
      </w:r>
      <w:r>
        <w:rPr>
          <w:rFonts w:asciiTheme="minorHAnsi" w:hAnsiTheme="minorHAnsi" w:cstheme="minorHAnsi"/>
          <w:b/>
          <w:bCs/>
        </w:rPr>
        <w:t>this academic year</w:t>
      </w:r>
      <w:r>
        <w:rPr>
          <w:rFonts w:asciiTheme="minorHAnsi" w:hAnsiTheme="minorHAnsi" w:cstheme="minorHAnsi"/>
        </w:rPr>
        <w:t xml:space="preserve"> to address the challenges listed above.</w:t>
      </w:r>
    </w:p>
    <w:p>
      <w:pPr>
        <w:pStyle w:val="Heading3"/>
        <w:rPr>
          <w:rFonts w:asciiTheme="minorHAnsi" w:hAnsiTheme="minorHAnsi" w:cstheme="minorHAnsi"/>
        </w:rPr>
      </w:pPr>
      <w:r>
        <w:rPr>
          <w:rFonts w:asciiTheme="minorHAnsi" w:hAnsiTheme="minorHAnsi" w:cstheme="minorHAnsi"/>
        </w:rPr>
        <w:t>Teaching (for example, CPD, recruitment and retention)</w:t>
      </w:r>
    </w:p>
    <w:p>
      <w:pPr>
        <w:rPr>
          <w:rFonts w:asciiTheme="minorHAnsi" w:hAnsiTheme="minorHAnsi" w:cstheme="minorHAnsi"/>
        </w:rPr>
      </w:pPr>
      <w:r>
        <w:rPr>
          <w:rFonts w:asciiTheme="minorHAnsi" w:hAnsiTheme="minorHAnsi" w:cstheme="minorHAnsi"/>
        </w:rPr>
        <w:t xml:space="preserve">Budgeted cost: £ </w:t>
      </w:r>
      <w:r>
        <w:rPr>
          <w:rFonts w:asciiTheme="minorHAnsi" w:hAnsiTheme="minorHAnsi" w:cstheme="minorHAnsi"/>
          <w:i/>
          <w:iCs/>
        </w:rPr>
        <w:t>15,000</w:t>
      </w:r>
    </w:p>
    <w:tbl>
      <w:tblPr>
        <w:tblW w:w="5000" w:type="pct"/>
        <w:tblCellMar>
          <w:left w:w="10" w:type="dxa"/>
          <w:right w:w="10" w:type="dxa"/>
        </w:tblCellMar>
        <w:tblLook w:val="04A0" w:firstRow="1" w:lastRow="0" w:firstColumn="1" w:lastColumn="0" w:noHBand="0" w:noVBand="1"/>
      </w:tblPr>
      <w:tblGrid>
        <w:gridCol w:w="2688"/>
        <w:gridCol w:w="4254"/>
        <w:gridCol w:w="2544"/>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Staff training</w:t>
            </w:r>
          </w:p>
          <w:p>
            <w:pPr>
              <w:pStyle w:val="TableRow"/>
              <w:rPr>
                <w:rFonts w:asciiTheme="minorHAnsi" w:hAnsiTheme="minorHAnsi" w:cstheme="minorHAnsi"/>
              </w:rPr>
            </w:pPr>
            <w:r>
              <w:rPr>
                <w:rFonts w:asciiTheme="minorHAnsi" w:hAnsiTheme="minorHAnsi" w:cstheme="minorHAnsi"/>
              </w:rPr>
              <w:t>RADY</w:t>
            </w:r>
          </w:p>
          <w:p>
            <w:pPr>
              <w:pStyle w:val="TableRow"/>
              <w:rPr>
                <w:rFonts w:asciiTheme="minorHAnsi" w:hAnsiTheme="minorHAnsi" w:cstheme="minorHAnsi"/>
              </w:rPr>
            </w:pPr>
            <w:r>
              <w:rPr>
                <w:rFonts w:asciiTheme="minorHAnsi" w:hAnsiTheme="minorHAnsi" w:cstheme="minorHAnsi"/>
              </w:rPr>
              <w:t>Teaching and learning strategies</w:t>
            </w:r>
          </w:p>
          <w:p>
            <w:pPr>
              <w:pStyle w:val="TableRow"/>
              <w:rPr>
                <w:rFonts w:asciiTheme="minorHAnsi" w:hAnsiTheme="minorHAnsi" w:cstheme="minorHAnsi"/>
              </w:rPr>
            </w:pPr>
            <w:r>
              <w:rPr>
                <w:rFonts w:asciiTheme="minorHAnsi" w:hAnsiTheme="minorHAnsi" w:cstheme="minorHAnsi"/>
              </w:rPr>
              <w:t>Embed retrieval practice and modelling</w:t>
            </w:r>
          </w:p>
          <w:p>
            <w:pPr>
              <w:pStyle w:val="TableRow"/>
              <w:rPr>
                <w:rFonts w:asciiTheme="minorHAnsi" w:hAnsiTheme="minorHAnsi" w:cstheme="minorHAnsi"/>
              </w:rPr>
            </w:pPr>
            <w:r>
              <w:rPr>
                <w:rFonts w:asciiTheme="minorHAnsi" w:hAnsiTheme="minorHAnsi" w:cstheme="minorHAnsi"/>
              </w:rPr>
              <w:t xml:space="preserve">SEND training.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Consistent approaches and shared language around teaching and learning  improve the quality of education for all.</w:t>
            </w:r>
          </w:p>
          <w:p>
            <w:pPr>
              <w:pStyle w:val="TableRowCentered"/>
              <w:jc w:val="left"/>
              <w:rPr>
                <w:rFonts w:asciiTheme="minorHAnsi" w:hAnsiTheme="minorHAnsi" w:cstheme="minorHAnsi"/>
                <w:sz w:val="22"/>
              </w:rPr>
            </w:pPr>
            <w:r>
              <w:rPr>
                <w:rFonts w:asciiTheme="minorHAnsi" w:hAnsiTheme="minorHAnsi" w:cstheme="minorHAnsi"/>
                <w:sz w:val="22"/>
              </w:rPr>
              <w:t>‘Quality teaching is by far the biggest factor that can make a difference to pupil outcomes’ Coe et al.(2014)</w:t>
            </w:r>
          </w:p>
          <w:p>
            <w:pPr>
              <w:pStyle w:val="TableRowCentered"/>
              <w:jc w:val="left"/>
              <w:rPr>
                <w:rFonts w:asciiTheme="minorHAnsi" w:hAnsiTheme="minorHAnsi" w:cstheme="minorHAnsi"/>
                <w:sz w:val="22"/>
              </w:rPr>
            </w:pPr>
            <w:r>
              <w:rPr>
                <w:rFonts w:asciiTheme="minorHAnsi" w:hAnsiTheme="minorHAnsi" w:cstheme="minorHAnsi"/>
                <w:sz w:val="22"/>
              </w:rPr>
              <w:t xml:space="preserve">‘Good teaching is the most important lever schools have to improve outcomes for disadvantaged pupils’ Education </w:t>
            </w:r>
            <w:r>
              <w:rPr>
                <w:rFonts w:asciiTheme="minorHAnsi" w:hAnsiTheme="minorHAnsi" w:cstheme="minorHAnsi"/>
                <w:sz w:val="22"/>
              </w:rPr>
              <w:lastRenderedPageBreak/>
              <w:t>Endowment Foundation Pupil Premium Guidance Report.</w:t>
            </w:r>
          </w:p>
          <w:p>
            <w:pPr>
              <w:pStyle w:val="TableRowCentered"/>
              <w:jc w:val="left"/>
              <w:rPr>
                <w:rFonts w:asciiTheme="minorHAnsi" w:hAnsiTheme="minorHAnsi" w:cstheme="minorHAnsi"/>
                <w:sz w:val="22"/>
              </w:rPr>
            </w:pPr>
            <w:r>
              <w:rPr>
                <w:rFonts w:asciiTheme="minorHAnsi" w:hAnsiTheme="minorHAnsi" w:cstheme="minorHAnsi"/>
                <w:sz w:val="22"/>
              </w:rPr>
              <w:t>‘Ensuring an effective teacher is in front of every class, and that every teacher is supported to keep improving, is the key ingredient of a successful school and should rightly be a priority for Pupil Premium Spending.’ 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lastRenderedPageBreak/>
              <w:t>1,3</w:t>
            </w:r>
          </w:p>
        </w:tc>
      </w:tr>
    </w:tbl>
    <w:p>
      <w:pPr>
        <w:rPr>
          <w:rFonts w:asciiTheme="minorHAnsi" w:hAnsiTheme="minorHAnsi" w:cstheme="minorHAnsi"/>
        </w:rPr>
      </w:pPr>
    </w:p>
    <w:p>
      <w:pPr>
        <w:pStyle w:val="Heading3"/>
        <w:rPr>
          <w:rFonts w:asciiTheme="minorHAnsi" w:hAnsiTheme="minorHAnsi" w:cstheme="minorHAnsi"/>
        </w:rPr>
      </w:pPr>
      <w:r>
        <w:rPr>
          <w:rFonts w:asciiTheme="minorHAnsi" w:hAnsiTheme="minorHAnsi" w:cstheme="minorHAnsi"/>
        </w:rPr>
        <w:t xml:space="preserve">Targeted academic support (for example, tutoring, one-to-one support, structured interventions) </w:t>
      </w:r>
    </w:p>
    <w:p>
      <w:pPr>
        <w:rPr>
          <w:rFonts w:asciiTheme="minorHAnsi" w:hAnsiTheme="minorHAnsi" w:cstheme="minorHAnsi"/>
        </w:rPr>
      </w:pPr>
      <w:r>
        <w:rPr>
          <w:rFonts w:asciiTheme="minorHAnsi" w:hAnsiTheme="minorHAnsi" w:cstheme="minorHAnsi"/>
        </w:rPr>
        <w:t>Budgeted cost: £20,000</w:t>
      </w:r>
    </w:p>
    <w:tbl>
      <w:tblPr>
        <w:tblW w:w="5000" w:type="pct"/>
        <w:tblCellMar>
          <w:left w:w="10" w:type="dxa"/>
          <w:right w:w="10" w:type="dxa"/>
        </w:tblCellMar>
        <w:tblLook w:val="04A0" w:firstRow="1" w:lastRow="0" w:firstColumn="1" w:lastColumn="0" w:noHBand="0" w:noVBand="1"/>
      </w:tblPr>
      <w:tblGrid>
        <w:gridCol w:w="2688"/>
        <w:gridCol w:w="4254"/>
        <w:gridCol w:w="2544"/>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1:1 and small group targeted intervention in phonics, comprehension, reading fluency, and mathematics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Tuition targeted at specific needs and knowledge gaps can be an effective method to support low attaining pupils or those falling behind, both one-to-one: </w:t>
            </w:r>
          </w:p>
          <w:p>
            <w:pPr>
              <w:pStyle w:val="TableRowCentered"/>
              <w:numPr>
                <w:ilvl w:val="0"/>
                <w:numId w:val="19"/>
              </w:numPr>
              <w:jc w:val="left"/>
              <w:rPr>
                <w:rFonts w:asciiTheme="minorHAnsi" w:hAnsiTheme="minorHAnsi" w:cstheme="minorHAnsi"/>
                <w:sz w:val="22"/>
                <w:szCs w:val="22"/>
              </w:rPr>
            </w:pPr>
            <w:r>
              <w:rPr>
                <w:rFonts w:asciiTheme="minorHAnsi" w:hAnsiTheme="minorHAnsi" w:cstheme="minorHAnsi"/>
                <w:color w:val="000000"/>
                <w:sz w:val="22"/>
                <w:szCs w:val="22"/>
              </w:rPr>
              <w:t xml:space="preserve">One to one tuition | EEF (educationen-dowmentfoundation.org.uk) </w:t>
            </w:r>
          </w:p>
          <w:p>
            <w:pPr>
              <w:pStyle w:val="TableRowCentered"/>
              <w:ind w:left="417"/>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And in small groups: </w:t>
            </w:r>
          </w:p>
          <w:p>
            <w:pPr>
              <w:pStyle w:val="TableRowCentered"/>
              <w:numPr>
                <w:ilvl w:val="0"/>
                <w:numId w:val="19"/>
              </w:numPr>
              <w:jc w:val="left"/>
              <w:rPr>
                <w:rFonts w:asciiTheme="minorHAnsi" w:hAnsiTheme="minorHAnsi" w:cstheme="minorHAnsi"/>
                <w:sz w:val="22"/>
                <w:szCs w:val="22"/>
              </w:rPr>
            </w:pPr>
            <w:r>
              <w:rPr>
                <w:rFonts w:asciiTheme="minorHAnsi" w:hAnsiTheme="minorHAnsi" w:cstheme="minorHAnsi"/>
                <w:color w:val="000000"/>
                <w:sz w:val="22"/>
                <w:szCs w:val="22"/>
              </w:rPr>
              <w:t xml:space="preserve">Small group tuition | Toolkit Strand | Education Endowment Foundation | EEF. </w:t>
            </w:r>
          </w:p>
          <w:p>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Quantitative data will be used to evidence the progress and impact of this tutoring. </w:t>
            </w:r>
          </w:p>
          <w:p>
            <w:pPr>
              <w:pStyle w:val="TableRowCentered"/>
              <w:ind w:left="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szCs w:val="22"/>
              </w:rPr>
            </w:pPr>
            <w:r>
              <w:rPr>
                <w:rFonts w:asciiTheme="minorHAnsi" w:hAnsiTheme="minorHAnsi" w:cstheme="minorHAnsi"/>
                <w:sz w:val="22"/>
                <w:szCs w:val="22"/>
              </w:rPr>
              <w:t>1,2,3,4,7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Purchase Fresh Start teaching resources and training materials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Reading is essential to every subject and academic success. Children who cannot read sufficiently will struggle to access the secondary curriculum.</w:t>
            </w:r>
          </w:p>
          <w:p>
            <w:pPr>
              <w:pStyle w:val="TableRowCentered"/>
              <w:jc w:val="left"/>
              <w:rPr>
                <w:rFonts w:asciiTheme="minorHAnsi" w:hAnsiTheme="minorHAnsi" w:cstheme="minorHAnsi"/>
                <w:sz w:val="22"/>
              </w:rPr>
            </w:pPr>
            <w:r>
              <w:rPr>
                <w:rFonts w:asciiTheme="minorHAnsi" w:hAnsiTheme="minorHAnsi" w:cstheme="minorHAnsi"/>
                <w:sz w:val="22"/>
              </w:rPr>
              <w:t>Successful schools prioritise reading by investing additional, bespoke help for struggling readers and training for staff who teach reading. Ofsted</w:t>
            </w:r>
          </w:p>
          <w:p>
            <w:pPr>
              <w:pStyle w:val="TableRowCentered"/>
              <w:jc w:val="left"/>
              <w:rPr>
                <w:rFonts w:asciiTheme="minorHAnsi" w:hAnsiTheme="minorHAnsi" w:cstheme="minorHAnsi"/>
                <w:sz w:val="22"/>
              </w:rPr>
            </w:pPr>
          </w:p>
          <w:p>
            <w:pPr>
              <w:pStyle w:val="TableRowCentered"/>
              <w:jc w:val="left"/>
              <w:rPr>
                <w:rFonts w:asciiTheme="minorHAnsi" w:hAnsiTheme="minorHAnsi" w:cstheme="minorHAnsi"/>
                <w:sz w:val="22"/>
              </w:rPr>
            </w:pPr>
            <w:r>
              <w:rPr>
                <w:rFonts w:asciiTheme="minorHAnsi" w:hAnsiTheme="minorHAnsi" w:cstheme="minorHAnsi"/>
                <w:sz w:val="22"/>
              </w:rPr>
              <w:t>EEF Improving Literacy in Secondary Schools</w:t>
            </w:r>
          </w:p>
          <w:p>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szCs w:val="22"/>
              </w:rPr>
            </w:pPr>
            <w:r>
              <w:rPr>
                <w:rFonts w:asciiTheme="minorHAnsi" w:hAnsiTheme="minorHAnsi" w:cstheme="minorHAnsi"/>
                <w:sz w:val="22"/>
                <w:szCs w:val="22"/>
              </w:rPr>
              <w:t>1,2,3,4,7</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szCs w:val="22"/>
              </w:rPr>
            </w:pPr>
            <w:r>
              <w:rPr>
                <w:rFonts w:asciiTheme="minorHAnsi" w:hAnsiTheme="minorHAnsi" w:cstheme="minorHAnsi"/>
                <w:sz w:val="22"/>
                <w:szCs w:val="22"/>
              </w:rPr>
              <w:t xml:space="preserve">Implement 4 x weekly phonics sessions for </w:t>
            </w:r>
            <w:r>
              <w:rPr>
                <w:rFonts w:asciiTheme="minorHAnsi" w:hAnsiTheme="minorHAnsi" w:cstheme="minorHAnsi"/>
                <w:sz w:val="22"/>
                <w:szCs w:val="22"/>
              </w:rPr>
              <w:lastRenderedPageBreak/>
              <w:t>struggling readers where appropriate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Reading is essential to every subject and academic success. Children who cannot </w:t>
            </w:r>
            <w:r>
              <w:rPr>
                <w:rFonts w:asciiTheme="minorHAnsi" w:hAnsiTheme="minorHAnsi" w:cstheme="minorHAnsi"/>
                <w:sz w:val="22"/>
              </w:rPr>
              <w:lastRenderedPageBreak/>
              <w:t>read sufficiently will struggle to access the secondary curriculum.</w:t>
            </w:r>
          </w:p>
          <w:p>
            <w:pPr>
              <w:pStyle w:val="TableRowCentered"/>
              <w:jc w:val="left"/>
              <w:rPr>
                <w:rFonts w:asciiTheme="minorHAnsi" w:hAnsiTheme="minorHAnsi" w:cstheme="minorHAnsi"/>
                <w:sz w:val="22"/>
              </w:rPr>
            </w:pPr>
            <w:r>
              <w:rPr>
                <w:rFonts w:asciiTheme="minorHAnsi" w:hAnsiTheme="minorHAnsi" w:cstheme="minorHAnsi"/>
                <w:sz w:val="22"/>
              </w:rPr>
              <w:t>Successful schools prioritise reading by investing additional, bespoke help for struggling readers and training for staff who teach reading. Ofsted</w:t>
            </w:r>
          </w:p>
          <w:p>
            <w:pPr>
              <w:pStyle w:val="TableRowCentered"/>
              <w:jc w:val="left"/>
              <w:rPr>
                <w:rFonts w:asciiTheme="minorHAnsi" w:hAnsiTheme="minorHAnsi" w:cstheme="minorHAnsi"/>
                <w:sz w:val="22"/>
              </w:rPr>
            </w:pPr>
          </w:p>
          <w:p>
            <w:pPr>
              <w:pStyle w:val="TableRowCentered"/>
              <w:jc w:val="left"/>
              <w:rPr>
                <w:rFonts w:asciiTheme="minorHAnsi" w:hAnsiTheme="minorHAnsi" w:cstheme="minorHAnsi"/>
                <w:sz w:val="22"/>
              </w:rPr>
            </w:pPr>
            <w:r>
              <w:rPr>
                <w:rFonts w:asciiTheme="minorHAnsi" w:hAnsiTheme="minorHAnsi" w:cstheme="minorHAnsi"/>
                <w:sz w:val="22"/>
              </w:rPr>
              <w:t>EEF Improving Literacy in Secondary Schools</w:t>
            </w:r>
          </w:p>
          <w:p>
            <w:pPr>
              <w:pStyle w:val="TableRowCentered"/>
              <w:jc w:val="left"/>
              <w:rPr>
                <w:rFonts w:asciiTheme="minorHAnsi" w:hAnsiTheme="minorHAnsi" w:cstheme="minorHAnsi"/>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1,2,3,4,7</w:t>
            </w:r>
          </w:p>
        </w:tc>
      </w:tr>
    </w:tbl>
    <w:p>
      <w:pPr>
        <w:rPr>
          <w:rFonts w:asciiTheme="minorHAnsi" w:hAnsiTheme="minorHAnsi" w:cstheme="minorHAnsi"/>
        </w:rPr>
      </w:pPr>
    </w:p>
    <w:p>
      <w:pPr>
        <w:pStyle w:val="Heading3"/>
        <w:rPr>
          <w:rFonts w:asciiTheme="minorHAnsi" w:hAnsiTheme="minorHAnsi" w:cstheme="minorHAnsi"/>
        </w:rPr>
      </w:pPr>
      <w:r>
        <w:rPr>
          <w:rFonts w:asciiTheme="minorHAnsi" w:hAnsiTheme="minorHAnsi" w:cstheme="minorHAnsi"/>
        </w:rPr>
        <w:t>Wider strategies (for example, related to attendance, behaviour, wellbeing)</w:t>
      </w:r>
    </w:p>
    <w:p>
      <w:pPr>
        <w:spacing w:before="240" w:after="120"/>
        <w:rPr>
          <w:rFonts w:asciiTheme="minorHAnsi" w:hAnsiTheme="minorHAnsi" w:cstheme="minorHAnsi"/>
        </w:rPr>
      </w:pPr>
      <w:r>
        <w:rPr>
          <w:rFonts w:asciiTheme="minorHAnsi" w:hAnsiTheme="minorHAnsi" w:cstheme="minorHAnsi"/>
        </w:rPr>
        <w:t>Budgeted cost: £20,000</w:t>
      </w:r>
    </w:p>
    <w:tbl>
      <w:tblPr>
        <w:tblW w:w="5000" w:type="pct"/>
        <w:tblCellMar>
          <w:left w:w="10" w:type="dxa"/>
          <w:right w:w="10" w:type="dxa"/>
        </w:tblCellMar>
        <w:tblLook w:val="04A0" w:firstRow="1" w:lastRow="0" w:firstColumn="1" w:lastColumn="0" w:noHBand="0" w:noVBand="1"/>
      </w:tblPr>
      <w:tblGrid>
        <w:gridCol w:w="2688"/>
        <w:gridCol w:w="4254"/>
        <w:gridCol w:w="2544"/>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iCs/>
                <w:sz w:val="22"/>
                <w:szCs w:val="22"/>
              </w:rPr>
              <w:t>Financial support for resources, music lessons, trips and enrichment activities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 xml:space="preserve">Extra-curricular activities are an important part of education in their own right. </w:t>
            </w:r>
          </w:p>
          <w:p>
            <w:pPr>
              <w:pStyle w:val="TableRowCentered"/>
              <w:jc w:val="left"/>
              <w:rPr>
                <w:rFonts w:asciiTheme="minorHAnsi" w:hAnsiTheme="minorHAnsi" w:cstheme="minorHAnsi"/>
                <w:sz w:val="22"/>
              </w:rPr>
            </w:pPr>
            <w:r>
              <w:rPr>
                <w:rFonts w:asciiTheme="minorHAnsi" w:hAnsiTheme="minorHAnsi" w:cstheme="minorHAnsi"/>
                <w:sz w:val="22"/>
              </w:rPr>
              <w:t>EEF Toolkit: Arts Participation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2,3,4,5</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rPr>
            </w:pPr>
            <w:r>
              <w:rPr>
                <w:rFonts w:asciiTheme="minorHAnsi" w:hAnsiTheme="minorHAnsi" w:cstheme="minorHAnsi"/>
                <w:sz w:val="22"/>
              </w:rPr>
              <w:t>Counselling provided by a qualified psychotherapist for pupils who require support with their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The BACP advocates that providing counselling within schools can support pupils to cope with difficulties they face in their lives, Early intervention can reduce the psychological distress in young people and has a positive effect on confidence, resilience, a sense of self-worth, school attendance and academic achievement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2,3,4,5</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sz w:val="22"/>
              </w:rPr>
            </w:pPr>
            <w:r>
              <w:rPr>
                <w:rFonts w:asciiTheme="minorHAnsi" w:hAnsiTheme="minorHAnsi" w:cstheme="minorHAnsi"/>
                <w:sz w:val="22"/>
              </w:rPr>
              <w:t>Enhanced pastoral support to intervene early with behaviour and attendance issues and support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DFE Promoting and supporting mental wellbeing in schools and colleges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sz w:val="22"/>
              </w:rPr>
            </w:pPr>
            <w:r>
              <w:rPr>
                <w:rFonts w:asciiTheme="minorHAnsi" w:hAnsiTheme="minorHAnsi" w:cstheme="minorHAnsi"/>
                <w:sz w:val="22"/>
              </w:rPr>
              <w:t>2,3,4,5,7</w:t>
            </w:r>
          </w:p>
        </w:tc>
      </w:tr>
    </w:tbl>
    <w:p>
      <w:pPr>
        <w:spacing w:before="240" w:after="0"/>
        <w:rPr>
          <w:rFonts w:asciiTheme="minorHAnsi" w:hAnsiTheme="minorHAnsi" w:cstheme="minorHAnsi"/>
          <w:b/>
          <w:bCs/>
          <w:color w:val="104F75"/>
          <w:sz w:val="28"/>
          <w:szCs w:val="28"/>
        </w:rPr>
      </w:pPr>
    </w:p>
    <w:p>
      <w:pPr>
        <w:rPr>
          <w:rFonts w:asciiTheme="minorHAnsi" w:hAnsiTheme="minorHAnsi" w:cstheme="minorHAnsi"/>
        </w:rPr>
      </w:pPr>
      <w:r>
        <w:rPr>
          <w:rFonts w:asciiTheme="minorHAnsi" w:hAnsiTheme="minorHAnsi" w:cstheme="minorHAnsi"/>
          <w:b/>
          <w:bCs/>
          <w:color w:val="104F75"/>
          <w:sz w:val="28"/>
          <w:szCs w:val="28"/>
        </w:rPr>
        <w:t xml:space="preserve">Total budgeted cost: £ </w:t>
      </w:r>
      <w:r>
        <w:rPr>
          <w:rFonts w:asciiTheme="minorHAnsi" w:hAnsiTheme="minorHAnsi" w:cstheme="minorHAnsi"/>
          <w:i/>
          <w:iCs/>
          <w:color w:val="104F75"/>
          <w:sz w:val="28"/>
          <w:szCs w:val="28"/>
        </w:rPr>
        <w:t>55,000</w:t>
      </w:r>
    </w:p>
    <w:p>
      <w:pPr>
        <w:pStyle w:val="Heading1"/>
        <w:spacing w:after="120"/>
        <w:rPr>
          <w:rFonts w:asciiTheme="minorHAnsi" w:hAnsiTheme="minorHAnsi" w:cstheme="minorHAnsi"/>
          <w:sz w:val="28"/>
        </w:rPr>
      </w:pPr>
      <w:r>
        <w:rPr>
          <w:rFonts w:asciiTheme="minorHAnsi" w:hAnsiTheme="minorHAnsi" w:cstheme="minorHAnsi"/>
          <w:sz w:val="28"/>
        </w:rPr>
        <w:lastRenderedPageBreak/>
        <w:t>Part B: Review of the previous academic year</w:t>
      </w:r>
    </w:p>
    <w:p>
      <w:pPr>
        <w:pStyle w:val="Heading2"/>
        <w:spacing w:before="240"/>
        <w:rPr>
          <w:rFonts w:asciiTheme="minorHAnsi" w:hAnsiTheme="minorHAnsi" w:cstheme="minorHAnsi"/>
          <w:sz w:val="28"/>
        </w:rPr>
      </w:pPr>
      <w:r>
        <w:rPr>
          <w:rFonts w:asciiTheme="minorHAnsi" w:hAnsiTheme="minorHAnsi" w:cstheme="minorHAnsi"/>
          <w:sz w:val="28"/>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pPr>
              <w:spacing w:before="60"/>
              <w:rPr>
                <w:rFonts w:asciiTheme="minorHAnsi" w:hAnsiTheme="minorHAnsi" w:cstheme="minorHAnsi"/>
                <w:iCs/>
                <w:lang w:eastAsia="en-US"/>
              </w:rPr>
            </w:pPr>
            <w:r>
              <w:rPr>
                <w:rFonts w:asciiTheme="minorHAnsi" w:hAnsiTheme="minorHAnsi" w:cstheme="minorHAnsi"/>
                <w:iCs/>
                <w:lang w:eastAsia="en-US"/>
              </w:rPr>
              <w:t xml:space="preserve">We have analysed the performance of our disadvantaged pupils during the 2023-24 academic year, drawing on national assessment data, standardised reading and spelling assessments and our own internal formative and summative assessments. </w:t>
            </w:r>
          </w:p>
          <w:p>
            <w:pPr>
              <w:spacing w:before="60"/>
              <w:rPr>
                <w:rFonts w:asciiTheme="minorHAnsi" w:hAnsiTheme="minorHAnsi" w:cstheme="minorHAnsi"/>
                <w:iCs/>
                <w:lang w:eastAsia="en-US"/>
              </w:rPr>
            </w:pPr>
            <w:r>
              <w:rPr>
                <w:rFonts w:asciiTheme="minorHAnsi" w:hAnsiTheme="minorHAnsi" w:cstheme="minorHAnsi"/>
                <w:iCs/>
                <w:lang w:eastAsia="en-US"/>
              </w:rPr>
              <w:t xml:space="preserve">In 2023-24, 7 pupils in Y11 were eligible for pupil premium. The DFE provisional performance data published in October 2024 shows that those pupils made more progress than their peers with a Progress 8 Score of +0.54 in comparison to a Progress 8 Score of +0.45 for the rest of the cohort. </w:t>
            </w:r>
          </w:p>
          <w:p>
            <w:pPr>
              <w:spacing w:before="60"/>
              <w:rPr>
                <w:rFonts w:asciiTheme="minorHAnsi" w:hAnsiTheme="minorHAnsi" w:cstheme="minorHAnsi"/>
                <w:iCs/>
                <w:lang w:eastAsia="en-US"/>
              </w:rPr>
            </w:pPr>
            <w:r>
              <w:rPr>
                <w:rFonts w:asciiTheme="minorHAnsi" w:hAnsiTheme="minorHAnsi" w:cstheme="minorHAnsi"/>
                <w:iCs/>
                <w:lang w:eastAsia="en-US"/>
              </w:rPr>
              <w:t xml:space="preserve">96.9% of disadvantaged pupil engaged in at least one enrichment activity in 2023-24. Disadvantaged pupils are members of the school council, ensuring they have an equitable voice at the academy. </w:t>
            </w:r>
          </w:p>
          <w:p>
            <w:pPr>
              <w:spacing w:before="60"/>
              <w:rPr>
                <w:rFonts w:asciiTheme="minorHAnsi" w:hAnsiTheme="minorHAnsi" w:cstheme="minorHAnsi"/>
                <w:iCs/>
                <w:lang w:eastAsia="en-US"/>
              </w:rPr>
            </w:pPr>
            <w:r>
              <w:rPr>
                <w:rFonts w:asciiTheme="minorHAnsi" w:hAnsiTheme="minorHAnsi" w:cstheme="minorHAnsi"/>
                <w:iCs/>
                <w:lang w:eastAsia="en-US"/>
              </w:rPr>
              <w:t xml:space="preserve">Persistent absence for disadvantaged pupils in the academic year 2023-24 was 43% which was significantly worse than the overall persistent absence rate of 22%. </w:t>
            </w:r>
          </w:p>
          <w:p>
            <w:pPr>
              <w:rPr>
                <w:rFonts w:asciiTheme="minorHAnsi" w:hAnsiTheme="minorHAnsi" w:cstheme="minorHAnsi"/>
                <w:color w:val="auto"/>
              </w:rPr>
            </w:pPr>
            <w:r>
              <w:rPr>
                <w:rFonts w:asciiTheme="minorHAnsi" w:hAnsiTheme="minorHAnsi" w:cstheme="minorHAnsi"/>
                <w:color w:val="auto"/>
              </w:rPr>
              <w:t xml:space="preserve">Reading improved overall for disadvantaged pupils from an average SAS 99 to SAS 100.6. When analysing individual pupil performance 56.6% of disadvantaged students improved their reading age over the last academic year. </w:t>
            </w:r>
          </w:p>
          <w:p>
            <w:pPr>
              <w:rPr>
                <w:rFonts w:asciiTheme="minorHAnsi" w:hAnsiTheme="minorHAnsi" w:cstheme="minorHAnsi"/>
              </w:rPr>
            </w:pPr>
            <w:r>
              <w:rPr>
                <w:rFonts w:asciiTheme="minorHAnsi" w:hAnsiTheme="minorHAnsi" w:cstheme="minorHAnsi"/>
              </w:rPr>
              <w:t xml:space="preserve">Considering all of the data available, including attainment data, progress data, behaviour and attendance data we have reviewed our strategy plan and made further changes to how we intend to use the budget allocation this year. The reading strategy has been further enhanced to include phonics, fluency and comprehension. </w:t>
            </w:r>
          </w:p>
          <w:p>
            <w:pPr>
              <w:rPr>
                <w:rFonts w:asciiTheme="minorHAnsi" w:hAnsiTheme="minorHAnsi" w:cstheme="minorHAnsi"/>
              </w:rPr>
            </w:pPr>
            <w:r>
              <w:rPr>
                <w:rFonts w:asciiTheme="minorHAnsi" w:hAnsiTheme="minorHAnsi" w:cstheme="minorHAnsi"/>
              </w:rPr>
              <w:t xml:space="preserve">Improvements in pedagogical practice are increasingly evident in the vast majority of lessons. However, changes to pedagogical practice take time to become embedded within the school’s culture (Csikszentmihlayi, 2002) and impact on pupil outcomes. Retrieval practice and vocabulary development are embedded.  </w:t>
            </w:r>
          </w:p>
        </w:tc>
      </w:tr>
    </w:tbl>
    <w:p>
      <w:pPr>
        <w:pStyle w:val="Heading2"/>
        <w:spacing w:before="0"/>
        <w:rPr>
          <w:rFonts w:asciiTheme="minorHAnsi" w:hAnsiTheme="minorHAnsi" w:cstheme="minorHAnsi"/>
          <w:sz w:val="28"/>
        </w:rPr>
      </w:pPr>
      <w:r>
        <w:rPr>
          <w:rFonts w:asciiTheme="minorHAnsi" w:hAnsiTheme="minorHAnsi" w:cstheme="minorHAnsi"/>
          <w:sz w:val="28"/>
        </w:rPr>
        <w:t>Externally provided programmes</w:t>
      </w:r>
    </w:p>
    <w:p>
      <w:pPr>
        <w:rPr>
          <w:rFonts w:asciiTheme="minorHAnsi" w:hAnsiTheme="minorHAnsi" w:cstheme="minorHAnsi"/>
          <w:i/>
          <w:iCs/>
        </w:rPr>
      </w:pPr>
      <w:r>
        <w:rPr>
          <w:rFonts w:asciiTheme="minorHAnsi" w:hAnsiTheme="minorHAnsi" w:cstheme="minorHAnsi"/>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rPr>
                <w:rFonts w:asciiTheme="minorHAnsi" w:hAnsiTheme="minorHAnsi" w:cstheme="minorHAnsi"/>
              </w:rPr>
            </w:pPr>
            <w:r>
              <w:rPr>
                <w:rFonts w:asciiTheme="minorHAnsi" w:hAnsiTheme="minorHAnsi" w:cstheme="minorHAnsi"/>
              </w:rPr>
              <w:t>Provider</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Maths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rPr>
            </w:pPr>
            <w:r>
              <w:rPr>
                <w:rFonts w:asciiTheme="minorHAnsi" w:hAnsiTheme="minorHAnsi" w:cstheme="minorHAnsi"/>
              </w:rPr>
              <w:t>Kendal Maths Tutor</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asciiTheme="minorHAnsi" w:hAnsiTheme="minorHAnsi" w:cstheme="minorHAnsi"/>
              </w:rPr>
            </w:pPr>
            <w:r>
              <w:rPr>
                <w:rFonts w:asciiTheme="minorHAnsi" w:hAnsiTheme="minorHAnsi" w:cstheme="minorHAnsi"/>
              </w:rPr>
              <w:t>English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rPr>
            </w:pPr>
            <w:r>
              <w:rPr>
                <w:rFonts w:asciiTheme="minorHAnsi" w:hAnsiTheme="minorHAnsi" w:cstheme="minorHAnsi"/>
              </w:rPr>
              <w:t>Local Tutor</w:t>
            </w:r>
          </w:p>
        </w:tc>
      </w:tr>
      <w:bookmarkEnd w:id="15"/>
      <w:bookmarkEnd w:id="16"/>
      <w:bookmarkEnd w:id="17"/>
    </w:tbl>
    <w:p>
      <w:pPr>
        <w:rPr>
          <w:rFonts w:asciiTheme="minorHAnsi" w:hAnsiTheme="minorHAnsi" w:cstheme="minorHAnsi"/>
        </w:rPr>
      </w:pPr>
    </w:p>
    <w:sectPr>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ind w:firstLine="4513"/>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rFonts w:cs="Arial"/>
        <w:b/>
        <w:noProof/>
        <w:color w:val="215868" w:themeColor="accent5" w:themeShade="80"/>
        <w:sz w:val="28"/>
        <w:szCs w:val="28"/>
      </w:rPr>
      <w:drawing>
        <wp:inline distT="0" distB="0" distL="0" distR="0">
          <wp:extent cx="1228815" cy="371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tlebeck Landscape Main Gradi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323" cy="374652"/>
                  </a:xfrm>
                  <a:prstGeom prst="rect">
                    <a:avLst/>
                  </a:prstGeom>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495"/>
    <w:multiLevelType w:val="hybridMultilevel"/>
    <w:tmpl w:val="01B27F7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03B5E3E"/>
    <w:multiLevelType w:val="hybridMultilevel"/>
    <w:tmpl w:val="862E24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70812DC"/>
    <w:multiLevelType w:val="hybridMultilevel"/>
    <w:tmpl w:val="51049D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260048"/>
    <w:multiLevelType w:val="hybridMultilevel"/>
    <w:tmpl w:val="D7DC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A69689A"/>
    <w:multiLevelType w:val="hybridMultilevel"/>
    <w:tmpl w:val="64F0BB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C41F4A"/>
    <w:multiLevelType w:val="hybridMultilevel"/>
    <w:tmpl w:val="E1F86B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7B2D478C"/>
    <w:multiLevelType w:val="hybridMultilevel"/>
    <w:tmpl w:val="3078E9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2"/>
  </w:num>
  <w:num w:numId="6">
    <w:abstractNumId w:val="10"/>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1"/>
  </w:num>
  <w:num w:numId="15">
    <w:abstractNumId w:val="0"/>
  </w:num>
  <w:num w:numId="16">
    <w:abstractNumId w:val="19"/>
  </w:num>
  <w:num w:numId="17">
    <w:abstractNumId w:val="11"/>
  </w:num>
  <w:num w:numId="18">
    <w:abstractNumId w:val="7"/>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pPr>
      <w:autoSpaceDN/>
    </w:pPr>
    <w:rPr>
      <w:color w:val="0D0D0D"/>
      <w:sz w:val="24"/>
      <w:szCs w:val="24"/>
    </w:rPr>
  </w:style>
  <w:style w:type="character" w:customStyle="1" w:styleId="Mention1">
    <w:name w:val="Mention1"/>
    <w:basedOn w:val="DefaultParagraphFont"/>
    <w:uiPriority w:val="99"/>
    <w:unhideWhenUsed/>
    <w:rPr>
      <w:color w:val="2B579A"/>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ba3ad7-4ba4-422d-a1e8-098426a114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9F1E88C03B141ADA49FE82F9C7A11" ma:contentTypeVersion="18" ma:contentTypeDescription="Create a new document." ma:contentTypeScope="" ma:versionID="41610305ef16b94e57580a656ad5e2e3">
  <xsd:schema xmlns:xsd="http://www.w3.org/2001/XMLSchema" xmlns:xs="http://www.w3.org/2001/XMLSchema" xmlns:p="http://schemas.microsoft.com/office/2006/metadata/properties" xmlns:ns3="84ba3ad7-4ba4-422d-a1e8-098426a11400" xmlns:ns4="478999f3-dfba-4b63-b9ba-9d474b966fea" targetNamespace="http://schemas.microsoft.com/office/2006/metadata/properties" ma:root="true" ma:fieldsID="93383dc5beb800045ea3b7cdb43dd6b1" ns3:_="" ns4:_="">
    <xsd:import namespace="84ba3ad7-4ba4-422d-a1e8-098426a11400"/>
    <xsd:import namespace="478999f3-dfba-4b63-b9ba-9d474b966f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a3ad7-4ba4-422d-a1e8-098426a11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999f3-dfba-4b63-b9ba-9d474b966f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8A2FB-0937-4B29-BDC7-E3DA864264BF}">
  <ds:schemaRefs>
    <ds:schemaRef ds:uri="http://purl.org/dc/dcmitype/"/>
    <ds:schemaRef ds:uri="84ba3ad7-4ba4-422d-a1e8-098426a11400"/>
    <ds:schemaRef ds:uri="http://schemas.microsoft.com/office/infopath/2007/PartnerControls"/>
    <ds:schemaRef ds:uri="http://schemas.openxmlformats.org/package/2006/metadata/core-properties"/>
    <ds:schemaRef ds:uri="478999f3-dfba-4b63-b9ba-9d474b966fea"/>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7363766-5188-4838-A90C-94C135A1D0C0}">
  <ds:schemaRefs>
    <ds:schemaRef ds:uri="http://schemas.microsoft.com/sharepoint/v3/contenttype/forms"/>
  </ds:schemaRefs>
</ds:datastoreItem>
</file>

<file path=customXml/itemProps3.xml><?xml version="1.0" encoding="utf-8"?>
<ds:datastoreItem xmlns:ds="http://schemas.openxmlformats.org/officeDocument/2006/customXml" ds:itemID="{6C5C0728-1AB7-479F-9881-A3906263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a3ad7-4ba4-422d-a1e8-098426a11400"/>
    <ds:schemaRef ds:uri="478999f3-dfba-4b63-b9ba-9d474b966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Sarah Campbell</cp:lastModifiedBy>
  <cp:revision>3</cp:revision>
  <cp:lastPrinted>2014-09-17T21:26:00Z</cp:lastPrinted>
  <dcterms:created xsi:type="dcterms:W3CDTF">2025-01-02T13:15:00Z</dcterms:created>
  <dcterms:modified xsi:type="dcterms:W3CDTF">2025-01-03T15:54:00Z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0x0101009CE9F1E88C03B141ADA49FE82F9C7A11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